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5" w:name="_GoBack"/>
      <w:bookmarkEnd w:id="5"/>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106bis-e</w:t>
      </w:r>
      <w:r>
        <w:rPr>
          <w:rFonts w:eastAsia="宋体" w:cs="Arial"/>
          <w:b/>
          <w:sz w:val="22"/>
          <w:szCs w:val="22"/>
          <w:lang w:val="en-US" w:eastAsia="zh-CN"/>
        </w:rPr>
        <w:tab/>
      </w:r>
      <w:r>
        <w:rPr>
          <w:rFonts w:cs="Arial"/>
          <w:b/>
          <w:sz w:val="22"/>
          <w:szCs w:val="22"/>
          <w:lang w:val="sv-SE" w:eastAsia="zh-CN"/>
        </w:rPr>
        <w:t>R1-210</w:t>
      </w:r>
      <w:r>
        <w:rPr>
          <w:rFonts w:hint="eastAsia" w:cs="Arial"/>
          <w:b/>
          <w:sz w:val="22"/>
          <w:szCs w:val="22"/>
          <w:lang w:val="en-US" w:eastAsia="zh-CN"/>
        </w:rPr>
        <w:t>9026</w:t>
      </w:r>
    </w:p>
    <w:p>
      <w:pPr>
        <w:tabs>
          <w:tab w:val="center" w:pos="4536"/>
          <w:tab w:val="right" w:pos="8280"/>
          <w:tab w:val="right" w:pos="9639"/>
        </w:tabs>
        <w:snapToGrid w:val="0"/>
        <w:spacing w:after="0" w:line="240" w:lineRule="auto"/>
        <w:ind w:left="331" w:right="2" w:hanging="440" w:hangingChars="200"/>
        <w:jc w:val="both"/>
        <w:rPr>
          <w:rFonts w:ascii="Arial" w:hAnsi="Arial" w:eastAsia="Batang" w:cs="Arial"/>
          <w:b/>
          <w:sz w:val="22"/>
          <w:szCs w:val="22"/>
          <w:lang w:val="sv-SE" w:eastAsia="zh-CN"/>
        </w:rPr>
      </w:pPr>
      <w:r>
        <w:rPr>
          <w:rFonts w:ascii="Arial" w:hAnsi="Arial" w:eastAsia="Batang" w:cs="Arial"/>
          <w:b/>
          <w:sz w:val="22"/>
          <w:szCs w:val="22"/>
          <w:lang w:val="sv-SE" w:eastAsia="ja-JP"/>
        </w:rPr>
        <w:t xml:space="preserve">e-Meeting, </w:t>
      </w:r>
      <w:r>
        <w:rPr>
          <w:rFonts w:hint="eastAsia" w:ascii="Arial" w:hAnsi="Arial" w:eastAsia="Batang" w:cs="Arial"/>
          <w:b/>
          <w:sz w:val="22"/>
          <w:szCs w:val="22"/>
          <w:lang w:val="en-US" w:eastAsia="zh-CN"/>
        </w:rPr>
        <w:t>October 11th – 19th, 2021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 xml:space="preserve">Discussion on </w:t>
      </w:r>
      <w:r>
        <w:rPr>
          <w:rFonts w:hint="eastAsia" w:cs="Arial"/>
          <w:sz w:val="22"/>
          <w:szCs w:val="22"/>
          <w:lang w:val="en-US" w:eastAsia="zh-CN"/>
        </w:rPr>
        <w:t>remaining</w:t>
      </w:r>
      <w:r>
        <w:rPr>
          <w:rFonts w:cs="Arial"/>
          <w:sz w:val="22"/>
          <w:szCs w:val="22"/>
          <w:lang w:val="en-US" w:eastAsia="zh-CN"/>
        </w:rPr>
        <w:t xml:space="preserve"> physical layer issues of small data transmission</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5.2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eastAsia="宋体"/>
          <w:lang w:val="en-US" w:eastAsia="zh-CN"/>
        </w:rPr>
      </w:pPr>
      <w:bookmarkStart w:id="1" w:name="OLE_LINK16"/>
      <w:bookmarkStart w:id="2" w:name="OLE_LINK2"/>
      <w:bookmarkStart w:id="3" w:name="OLE_LINK15"/>
      <w:bookmarkStart w:id="4" w:name="OLE_LINK1"/>
      <w:r>
        <w:rPr>
          <w:rFonts w:eastAsia="宋体"/>
          <w:lang w:val="en-US" w:eastAsia="zh-CN"/>
        </w:rPr>
        <w:t>I</w:t>
      </w:r>
      <w:r>
        <w:rPr>
          <w:rFonts w:hint="eastAsia" w:eastAsia="宋体"/>
          <w:lang w:val="en-US" w:eastAsia="zh-CN"/>
        </w:rPr>
        <w:t>n</w:t>
      </w:r>
      <w:r>
        <w:rPr>
          <w:rFonts w:eastAsia="宋体"/>
          <w:lang w:val="en-US" w:eastAsia="zh-CN"/>
        </w:rPr>
        <w:t xml:space="preserve"> the last meetings, RAN1 has discussed the physical layer issues of small data transmission requested by </w:t>
      </w:r>
      <w:r>
        <w:rPr>
          <w:rFonts w:hint="eastAsia" w:eastAsia="宋体"/>
          <w:lang w:val="en-US" w:eastAsia="zh-CN"/>
        </w:rPr>
        <w:t>RAN2 LS</w:t>
      </w:r>
      <w:r>
        <w:rPr>
          <w:rFonts w:eastAsia="宋体"/>
          <w:lang w:val="en-US" w:eastAsia="zh-CN"/>
        </w:rPr>
        <w:t>s</w:t>
      </w:r>
      <w:r>
        <w:rPr>
          <w:rFonts w:hint="eastAsia" w:eastAsia="宋体"/>
          <w:lang w:val="en-US" w:eastAsia="zh-CN"/>
        </w:rPr>
        <w:t>, and some agreement</w:t>
      </w:r>
      <w:r>
        <w:rPr>
          <w:rFonts w:eastAsia="宋体"/>
          <w:lang w:val="en-US" w:eastAsia="zh-CN"/>
        </w:rPr>
        <w:t>s</w:t>
      </w:r>
      <w:r>
        <w:rPr>
          <w:rFonts w:hint="eastAsia" w:eastAsia="宋体"/>
          <w:lang w:val="en-US" w:eastAsia="zh-CN"/>
        </w:rPr>
        <w:t xml:space="preserve"> have been achieved for </w:t>
      </w:r>
      <w:r>
        <w:rPr>
          <w:rFonts w:eastAsia="宋体"/>
          <w:lang w:val="en-US" w:eastAsia="zh-CN"/>
        </w:rPr>
        <w:t xml:space="preserve">RA-SDT and </w:t>
      </w:r>
      <w:r>
        <w:rPr>
          <w:rFonts w:hint="eastAsia" w:eastAsia="宋体"/>
          <w:lang w:val="en-US" w:eastAsia="zh-CN"/>
        </w:rPr>
        <w:t xml:space="preserve">CG-SDT </w:t>
      </w:r>
      <w:r>
        <w:rPr>
          <w:rFonts w:eastAsia="宋体"/>
          <w:lang w:val="en-US" w:eastAsia="zh-CN"/>
        </w:rPr>
        <w:t>respectively</w:t>
      </w:r>
      <w:r>
        <w:rPr>
          <w:rFonts w:hint="eastAsia" w:eastAsia="宋体"/>
          <w:lang w:val="en-US" w:eastAsia="zh-CN"/>
        </w:rPr>
        <w:t>. There are still some remaining details need to be discussed further on SSB-to-PUSCH resource mapping.</w:t>
      </w:r>
    </w:p>
    <w:p>
      <w:pPr>
        <w:pStyle w:val="20"/>
        <w:tabs>
          <w:tab w:val="left" w:pos="420"/>
          <w:tab w:val="center" w:pos="4680"/>
          <w:tab w:val="right" w:pos="9360"/>
        </w:tabs>
        <w:spacing w:before="120" w:after="120" w:line="260" w:lineRule="auto"/>
        <w:jc w:val="both"/>
        <w:rPr>
          <w:rFonts w:ascii="Times New Roman" w:hAnsi="Times New Roman"/>
          <w:color w:val="000000"/>
        </w:rPr>
      </w:pPr>
      <w:r>
        <w:rPr>
          <w:rFonts w:hint="eastAsia" w:ascii="Times New Roman" w:hAnsi="Times New Roman" w:eastAsia="宋体"/>
          <w:b w:val="0"/>
          <w:iCs/>
          <w:color w:val="000000"/>
          <w:sz w:val="20"/>
          <w:lang w:val="en-US" w:eastAsia="zh-CN"/>
        </w:rPr>
        <w:t xml:space="preserve">In LS </w:t>
      </w:r>
      <w:r>
        <w:rPr>
          <w:rFonts w:hint="eastAsia" w:ascii="Times New Roman" w:hAnsi="Times New Roman"/>
          <w:b w:val="0"/>
          <w:iCs/>
          <w:color w:val="000000"/>
          <w:sz w:val="20"/>
        </w:rPr>
        <w:t>R1-2108715</w:t>
      </w:r>
      <w:r>
        <w:rPr>
          <w:rFonts w:hint="eastAsia" w:ascii="Times New Roman" w:hAnsi="Times New Roman" w:eastAsia="宋体"/>
          <w:b w:val="0"/>
          <w:iCs/>
          <w:color w:val="000000"/>
          <w:sz w:val="20"/>
          <w:lang w:val="en-US" w:eastAsia="zh-CN"/>
        </w:rPr>
        <w:t xml:space="preserve"> (R2-2109222), </w:t>
      </w:r>
      <w:r>
        <w:rPr>
          <w:rFonts w:ascii="Times New Roman" w:hAnsi="Times New Roman"/>
          <w:b w:val="0"/>
          <w:color w:val="000000"/>
          <w:sz w:val="20"/>
        </w:rPr>
        <w:t>RAN2 has made the following agreements</w:t>
      </w:r>
      <w:r>
        <w:rPr>
          <w:rFonts w:hint="eastAsia" w:ascii="Times New Roman" w:hAnsi="Times New Roman" w:eastAsia="宋体"/>
          <w:b w:val="0"/>
          <w:color w:val="000000"/>
          <w:sz w:val="20"/>
          <w:lang w:val="en-US" w:eastAsia="zh-CN"/>
        </w:rPr>
        <w:t xml:space="preserve"> and requested RAN1 to reply the following five questions.</w:t>
      </w:r>
    </w:p>
    <w:tbl>
      <w:tblPr>
        <w:tblStyle w:val="26"/>
        <w:tblW w:w="9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7" w:type="dxa"/>
          </w:tcPr>
          <w:p>
            <w:pPr>
              <w:spacing w:after="0"/>
              <w:rPr>
                <w:b/>
                <w:bCs/>
                <w:i/>
                <w:iCs/>
                <w:color w:val="000000"/>
                <w:u w:val="single"/>
              </w:rPr>
            </w:pPr>
            <w:r>
              <w:rPr>
                <w:b/>
                <w:bCs/>
                <w:i/>
                <w:iCs/>
                <w:color w:val="000000"/>
                <w:u w:val="single"/>
              </w:rPr>
              <w:t xml:space="preserve">Agreements for RA-SDT: </w:t>
            </w:r>
          </w:p>
          <w:p>
            <w:pPr>
              <w:spacing w:after="0"/>
              <w:rPr>
                <w:color w:val="000000"/>
              </w:rPr>
            </w:pPr>
          </w:p>
          <w:p>
            <w:pPr>
              <w:pStyle w:val="38"/>
              <w:numPr>
                <w:ilvl w:val="0"/>
                <w:numId w:val="10"/>
              </w:numPr>
              <w:ind w:left="360"/>
              <w:rPr>
                <w:rFonts w:ascii="Times New Roman" w:hAnsi="Times New Roman"/>
              </w:rPr>
            </w:pPr>
            <w:r>
              <w:rPr>
                <w:rFonts w:ascii="Times New Roman" w:hAnsi="Times New Roman"/>
              </w:rPr>
              <w:t>SDT related RACH resources are configured via system information, i.e., SIB1</w:t>
            </w:r>
          </w:p>
          <w:p>
            <w:pPr>
              <w:pStyle w:val="38"/>
              <w:numPr>
                <w:ilvl w:val="0"/>
                <w:numId w:val="10"/>
              </w:numPr>
              <w:ind w:left="360"/>
              <w:rPr>
                <w:rFonts w:ascii="Times New Roman" w:hAnsi="Times New Roman"/>
              </w:rPr>
            </w:pPr>
            <w:r>
              <w:rPr>
                <w:rFonts w:ascii="Times New Roman" w:hAnsi="Times New Roman"/>
              </w:rPr>
              <w:t xml:space="preserve">At least the following parameters can be RA-SDT specific. </w:t>
            </w:r>
          </w:p>
          <w:p>
            <w:pPr>
              <w:pStyle w:val="38"/>
              <w:numPr>
                <w:ilvl w:val="2"/>
                <w:numId w:val="11"/>
              </w:numPr>
              <w:ind w:left="901"/>
              <w:rPr>
                <w:rFonts w:ascii="Times New Roman" w:hAnsi="Times New Roman"/>
              </w:rPr>
            </w:pPr>
            <w:r>
              <w:rPr>
                <w:rFonts w:ascii="Times New Roman" w:hAnsi="Times New Roman"/>
              </w:rPr>
              <w:t>SSB selection related parameters, i.e., rsrp-ThresholdSSB, msgA-RSRP-ThresholdSSB.</w:t>
            </w:r>
          </w:p>
          <w:p>
            <w:pPr>
              <w:pStyle w:val="38"/>
              <w:numPr>
                <w:ilvl w:val="2"/>
                <w:numId w:val="11"/>
              </w:numPr>
              <w:ind w:left="901"/>
              <w:rPr>
                <w:rFonts w:ascii="Times New Roman" w:hAnsi="Times New Roman"/>
              </w:rPr>
            </w:pPr>
            <w:r>
              <w:rPr>
                <w:rFonts w:ascii="Times New Roman" w:hAnsi="Times New Roman"/>
              </w:rPr>
              <w:t xml:space="preserve">Power control related parameters, i.e., preambleReceivedTargetPower/gA-PreambleReceivedTargetPower, powerRampingStep/msgA-PreamblePowerRampingStep, msg3-DeltaPreamble/msgA-DeltaPreamble. </w:t>
            </w:r>
          </w:p>
          <w:p>
            <w:pPr>
              <w:pStyle w:val="38"/>
              <w:numPr>
                <w:ilvl w:val="2"/>
                <w:numId w:val="11"/>
              </w:numPr>
              <w:ind w:left="901"/>
              <w:rPr>
                <w:rFonts w:ascii="Times New Roman" w:hAnsi="Times New Roman"/>
              </w:rPr>
            </w:pPr>
            <w:r>
              <w:rPr>
                <w:rFonts w:ascii="Times New Roman" w:hAnsi="Times New Roman"/>
              </w:rPr>
              <w:t xml:space="preserve">Preamble group related parameters, i.e., msg3-DeltaPreamble/msgA-DeltaPreamble, messagePowerOffsetGroupB for 2-step RA-SDT and 4-step RA-SDT. </w:t>
            </w:r>
          </w:p>
          <w:p>
            <w:pPr>
              <w:pStyle w:val="38"/>
              <w:numPr>
                <w:ilvl w:val="0"/>
                <w:numId w:val="10"/>
              </w:numPr>
              <w:ind w:left="360"/>
              <w:rPr>
                <w:rFonts w:ascii="Times New Roman" w:hAnsi="Times New Roman"/>
              </w:rPr>
            </w:pPr>
            <w:r>
              <w:rPr>
                <w:rFonts w:ascii="Times New Roman" w:hAnsi="Times New Roman"/>
              </w:rPr>
              <w:t xml:space="preserve"> For shared ROs case, all the following configurations can be allowed: (28/28)</w:t>
            </w:r>
          </w:p>
          <w:p>
            <w:pPr>
              <w:pStyle w:val="38"/>
              <w:numPr>
                <w:ilvl w:val="0"/>
                <w:numId w:val="12"/>
              </w:numPr>
              <w:ind w:left="720"/>
              <w:rPr>
                <w:rFonts w:ascii="Times New Roman" w:hAnsi="Times New Roman"/>
              </w:rPr>
            </w:pPr>
            <w:r>
              <w:rPr>
                <w:rFonts w:ascii="Times New Roman" w:hAnsi="Times New Roman"/>
              </w:rPr>
              <w:t>4-step RA-SDT shares ROs with 4-step RA and/or 2-step RA</w:t>
            </w:r>
          </w:p>
          <w:p>
            <w:pPr>
              <w:pStyle w:val="38"/>
              <w:numPr>
                <w:ilvl w:val="0"/>
                <w:numId w:val="12"/>
              </w:numPr>
              <w:ind w:left="720"/>
              <w:rPr>
                <w:rFonts w:ascii="Times New Roman" w:hAnsi="Times New Roman"/>
              </w:rPr>
            </w:pPr>
            <w:r>
              <w:rPr>
                <w:rFonts w:ascii="Times New Roman" w:hAnsi="Times New Roman"/>
              </w:rPr>
              <w:t>2-step RA-SDT shares ROs with 4-step RA and/or 2-step RA</w:t>
            </w:r>
          </w:p>
          <w:p>
            <w:pPr>
              <w:pStyle w:val="38"/>
              <w:numPr>
                <w:ilvl w:val="0"/>
                <w:numId w:val="12"/>
              </w:numPr>
              <w:ind w:left="720"/>
              <w:rPr>
                <w:rFonts w:ascii="Times New Roman" w:hAnsi="Times New Roman"/>
                <w:color w:val="000000"/>
              </w:rPr>
            </w:pPr>
            <w:r>
              <w:rPr>
                <w:rFonts w:ascii="Times New Roman" w:hAnsi="Times New Roman"/>
              </w:rPr>
              <w:t>2-step RA-SDT shares ROs with 4-step RA-SDT and/or 4-step RA and/or 2-step RA.</w:t>
            </w:r>
          </w:p>
          <w:p>
            <w:pPr>
              <w:pStyle w:val="38"/>
              <w:rPr>
                <w:rFonts w:ascii="Times New Roman" w:hAnsi="Times New Roman"/>
              </w:rPr>
            </w:pPr>
          </w:p>
          <w:p>
            <w:pPr>
              <w:pStyle w:val="38"/>
              <w:numPr>
                <w:ilvl w:val="0"/>
                <w:numId w:val="10"/>
              </w:numPr>
              <w:ind w:left="360"/>
              <w:rPr>
                <w:rFonts w:ascii="Times New Roman" w:hAnsi="Times New Roman"/>
              </w:rPr>
            </w:pPr>
            <w:r>
              <w:rPr>
                <w:rFonts w:ascii="Times New Roman" w:hAnsi="Times New Roman"/>
              </w:rPr>
              <w:t>RA prioritization related parameters cannot be configured for RA-SDT, i.e., powerRampingStepHighPriority, scalingFactorBI</w:t>
            </w:r>
          </w:p>
          <w:p>
            <w:pPr>
              <w:pStyle w:val="38"/>
              <w:numPr>
                <w:ilvl w:val="0"/>
                <w:numId w:val="10"/>
              </w:numPr>
              <w:ind w:left="360"/>
              <w:rPr>
                <w:rFonts w:ascii="Times New Roman" w:hAnsi="Times New Roman"/>
              </w:rPr>
            </w:pPr>
            <w:r>
              <w:rPr>
                <w:rFonts w:ascii="Times New Roman" w:hAnsi="Times New Roman"/>
              </w:rPr>
              <w:t xml:space="preserve">UE selects any SSBs if there is no qualified SSB for RA-SDT, like in legacy.  No optimizations are considered.  </w:t>
            </w:r>
          </w:p>
          <w:p>
            <w:pPr>
              <w:pStyle w:val="38"/>
              <w:numPr>
                <w:ilvl w:val="0"/>
                <w:numId w:val="10"/>
              </w:numPr>
              <w:ind w:left="360"/>
              <w:rPr>
                <w:rFonts w:ascii="Times New Roman" w:hAnsi="Times New Roman"/>
              </w:rPr>
            </w:pPr>
            <w:r>
              <w:rPr>
                <w:rFonts w:ascii="Times New Roman" w:hAnsi="Times New Roman"/>
              </w:rPr>
              <w:t>No new timer (other than the SDT failure detection timer) is introduced to control the PDCCH monitoring during subsequent transmissions in RA-SDT</w:t>
            </w:r>
          </w:p>
          <w:p>
            <w:pPr>
              <w:pStyle w:val="38"/>
              <w:numPr>
                <w:ilvl w:val="0"/>
                <w:numId w:val="10"/>
              </w:numPr>
              <w:ind w:left="360"/>
              <w:rPr>
                <w:rFonts w:ascii="Times New Roman" w:hAnsi="Times New Roman"/>
              </w:rPr>
            </w:pPr>
            <w:r>
              <w:rPr>
                <w:rFonts w:ascii="Times New Roman" w:hAnsi="Times New Roman"/>
              </w:rPr>
              <w:t>RA-SDT can be configured on initial BWP.  FFS for non-initial BWP</w:t>
            </w:r>
          </w:p>
          <w:p>
            <w:pPr>
              <w:pStyle w:val="38"/>
              <w:numPr>
                <w:ilvl w:val="0"/>
                <w:numId w:val="10"/>
              </w:numPr>
              <w:ind w:left="360"/>
              <w:rPr>
                <w:rFonts w:ascii="Times New Roman" w:hAnsi="Times New Roman"/>
              </w:rPr>
            </w:pPr>
            <w:r>
              <w:rPr>
                <w:rFonts w:ascii="Times New Roman" w:hAnsi="Times New Roman"/>
              </w:rPr>
              <w:t>If none of the SSBs’ RSRP is above the RSRP threshold of CG-SDT criteria in the type selection phase, UE should select RA-SDT if RA-SDT criteria is met</w:t>
            </w:r>
          </w:p>
          <w:p>
            <w:pPr>
              <w:pStyle w:val="38"/>
              <w:rPr>
                <w:rFonts w:ascii="Times New Roman" w:hAnsi="Times New Roman"/>
              </w:rPr>
            </w:pPr>
          </w:p>
          <w:p>
            <w:pPr>
              <w:pStyle w:val="38"/>
              <w:ind w:left="0" w:firstLine="0"/>
              <w:rPr>
                <w:rFonts w:ascii="Times New Roman" w:hAnsi="Times New Roman"/>
              </w:rPr>
            </w:pPr>
          </w:p>
          <w:p>
            <w:pPr>
              <w:pStyle w:val="38"/>
              <w:ind w:left="0" w:firstLine="0"/>
              <w:rPr>
                <w:rFonts w:ascii="Times New Roman" w:hAnsi="Times New Roman"/>
                <w:b/>
                <w:bCs/>
                <w:i/>
                <w:iCs/>
                <w:u w:val="single"/>
              </w:rPr>
            </w:pPr>
            <w:r>
              <w:rPr>
                <w:rFonts w:ascii="Times New Roman" w:hAnsi="Times New Roman"/>
                <w:b/>
                <w:bCs/>
                <w:i/>
                <w:iCs/>
                <w:u w:val="single"/>
              </w:rPr>
              <w:t xml:space="preserve">Agreements for CG-SDT: </w:t>
            </w:r>
          </w:p>
          <w:p>
            <w:pPr>
              <w:pStyle w:val="38"/>
              <w:ind w:left="363"/>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UE should release CG-SDT resource (if stored) when UE initiates RRC resume procedure from another cell which is different from the cell in which the RRCRelease is received.</w:t>
            </w:r>
          </w:p>
          <w:p>
            <w:pPr>
              <w:pStyle w:val="38"/>
              <w:ind w:left="363"/>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 xml:space="preserve">The C-RNTI previously configured in RRC_CONNECTED state is used for UE to monitor PDCCH in CG-SDT.  </w:t>
            </w:r>
          </w:p>
          <w:p>
            <w:pPr>
              <w:pStyle w:val="38"/>
              <w:ind w:left="363"/>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CS-RNTI based dynamic retransmission mechanism can be reused for CG-SDT.  FFS whether CS-RNTI is the same one as the one previously configured in RRC_CONNECTED or a new CS-RNTI one is provided to the UE</w:t>
            </w:r>
          </w:p>
          <w:p>
            <w:pPr>
              <w:pStyle w:val="38"/>
              <w:ind w:left="363"/>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During the subsequent new CG transmission phase, for the purpose of CG resource selection, UE re-evaluates the SSB for subsequent CG transmission.  FFS what happens if no SSBs are valid or if no sample is available</w:t>
            </w:r>
          </w:p>
          <w:p>
            <w:pPr>
              <w:pStyle w:val="38"/>
              <w:ind w:left="363"/>
              <w:rPr>
                <w:rFonts w:ascii="Times New Roman" w:hAnsi="Times New Roman"/>
              </w:rPr>
            </w:pPr>
            <w:r>
              <w:rPr>
                <w:rFonts w:ascii="Times New Roman" w:hAnsi="Times New Roman"/>
              </w:rPr>
              <w:t>5.</w:t>
            </w:r>
            <w:r>
              <w:rPr>
                <w:rFonts w:ascii="Times New Roman" w:hAnsi="Times New Roman"/>
              </w:rPr>
              <w:tab/>
            </w:r>
            <w:r>
              <w:rPr>
                <w:rFonts w:ascii="Times New Roman" w:hAnsi="Times New Roman"/>
              </w:rPr>
              <w:t>From RAN2 perspective, at least the following parameters should be included in the CG-SDT configuration. FFS whether these parameters are common for multiple CG-SDT configurations or per CG-SDT configuration.</w:t>
            </w:r>
          </w:p>
          <w:p>
            <w:pPr>
              <w:pStyle w:val="38"/>
              <w:numPr>
                <w:ilvl w:val="0"/>
                <w:numId w:val="13"/>
              </w:numPr>
              <w:rPr>
                <w:rFonts w:ascii="Times New Roman" w:hAnsi="Times New Roman"/>
              </w:rPr>
            </w:pPr>
            <w:r>
              <w:rPr>
                <w:rFonts w:ascii="Times New Roman" w:hAnsi="Times New Roman"/>
              </w:rPr>
              <w:t>The new TA timer in RRC_INACTIVE;</w:t>
            </w:r>
          </w:p>
          <w:p>
            <w:pPr>
              <w:pStyle w:val="38"/>
              <w:numPr>
                <w:ilvl w:val="0"/>
                <w:numId w:val="13"/>
              </w:numPr>
              <w:rPr>
                <w:rFonts w:ascii="Times New Roman" w:hAnsi="Times New Roman"/>
              </w:rPr>
            </w:pPr>
            <w:r>
              <w:rPr>
                <w:rFonts w:ascii="Times New Roman" w:hAnsi="Times New Roman"/>
              </w:rPr>
              <w:t>The RSRP change threshold for TA validation mechanism in SDT (details dependent on RAN1);</w:t>
            </w:r>
          </w:p>
          <w:p>
            <w:pPr>
              <w:pStyle w:val="38"/>
              <w:numPr>
                <w:ilvl w:val="0"/>
                <w:numId w:val="13"/>
              </w:numPr>
              <w:rPr>
                <w:rFonts w:ascii="Times New Roman" w:hAnsi="Times New Roman"/>
                <w:color w:val="000000"/>
              </w:rPr>
            </w:pPr>
            <w:r>
              <w:rPr>
                <w:rFonts w:ascii="Times New Roman" w:hAnsi="Times New Roman"/>
              </w:rPr>
              <w:t>The SSB RSRP threshold for beam selection (i.e. UE selects the beam and associated CG resource for data transmission).</w:t>
            </w:r>
          </w:p>
        </w:tc>
      </w:tr>
    </w:tbl>
    <w:p>
      <w:pPr>
        <w:spacing w:after="0"/>
        <w:rPr>
          <w:color w:val="000000"/>
        </w:rPr>
      </w:pPr>
    </w:p>
    <w:p>
      <w:pPr>
        <w:spacing w:after="0"/>
        <w:rPr>
          <w:color w:val="000000"/>
        </w:rPr>
      </w:pPr>
      <w:r>
        <w:rPr>
          <w:color w:val="000000"/>
        </w:rPr>
        <w:t xml:space="preserve">RAN2 would like to ask RAN1 the following questions: </w:t>
      </w:r>
    </w:p>
    <w:p>
      <w:pPr>
        <w:spacing w:after="0"/>
        <w:rPr>
          <w:color w:val="000000"/>
        </w:rPr>
      </w:pPr>
    </w:p>
    <w:p>
      <w:pPr>
        <w:spacing w:after="0"/>
        <w:rPr>
          <w:color w:val="000000"/>
        </w:rPr>
      </w:pPr>
      <w:r>
        <w:rPr>
          <w:color w:val="000000"/>
        </w:rPr>
        <w:t>Q1: For both RA-SDT and CG-SDT, RAN2 assumes that common PUCCH resources (i.e. those that are shared with non-SDT UEs) can also be used for HARQ-ACK feedback for Msg4 /MsgB and subsequent SDT transmissions. Can RAN1 confirm this?</w:t>
      </w:r>
    </w:p>
    <w:p>
      <w:pPr>
        <w:spacing w:after="0"/>
        <w:rPr>
          <w:color w:val="000000"/>
        </w:rPr>
      </w:pPr>
    </w:p>
    <w:p>
      <w:pPr>
        <w:spacing w:after="0"/>
        <w:rPr>
          <w:color w:val="000000"/>
        </w:rPr>
      </w:pPr>
      <w:r>
        <w:rPr>
          <w:color w:val="000000"/>
        </w:rPr>
        <w:t xml:space="preserve">Q2: For RA-SDT and CG-SDT, for Msg4 /MsgB and subsequent SDT transmissions, does RAN1 think there is a need for any other PUCCH resources than the above and if needed, can RAN1 define these? </w:t>
      </w:r>
    </w:p>
    <w:p>
      <w:pPr>
        <w:spacing w:after="0"/>
        <w:rPr>
          <w:color w:val="000000"/>
        </w:rPr>
      </w:pPr>
    </w:p>
    <w:p>
      <w:pPr>
        <w:spacing w:after="0"/>
        <w:rPr>
          <w:color w:val="000000"/>
        </w:rPr>
      </w:pPr>
      <w:r>
        <w:rPr>
          <w:color w:val="000000"/>
        </w:rPr>
        <w:t xml:space="preserve">Q3: Is there any other L1 configuration needed for both RA-SDT and CG-SDT to support the subsequent data transmissions from RAN1 perspective? </w:t>
      </w:r>
    </w:p>
    <w:p>
      <w:pPr>
        <w:spacing w:after="0"/>
        <w:rPr>
          <w:color w:val="000000"/>
        </w:rPr>
      </w:pPr>
    </w:p>
    <w:p>
      <w:pPr>
        <w:spacing w:after="0"/>
        <w:rPr>
          <w:color w:val="000000"/>
        </w:rPr>
      </w:pPr>
      <w:r>
        <w:rPr>
          <w:color w:val="000000"/>
        </w:rPr>
        <w:t xml:space="preserve">In addition to the above, RAN2 discussed support of RA-SDT configuration on non-initial BWP. Some companies supported RA-SDT for non-initial BWP as this will reduce the congestion on initial BWP, whilst others expressed concerns on the complexity and paging monitoring. For this issue, RAN2 would like to ask RAN1 the following question: </w:t>
      </w:r>
    </w:p>
    <w:p>
      <w:pPr>
        <w:spacing w:after="0"/>
        <w:rPr>
          <w:color w:val="000000"/>
        </w:rPr>
      </w:pPr>
    </w:p>
    <w:p>
      <w:pPr>
        <w:spacing w:after="0"/>
        <w:rPr>
          <w:color w:val="000000"/>
        </w:rPr>
      </w:pPr>
      <w:r>
        <w:rPr>
          <w:color w:val="000000"/>
        </w:rPr>
        <w:t xml:space="preserve">Q4: Do RAN1 have any concerns to support RA-SDT on the non-initial BWP? </w:t>
      </w:r>
    </w:p>
    <w:p>
      <w:pPr>
        <w:spacing w:after="0"/>
        <w:rPr>
          <w:i/>
          <w:iCs/>
        </w:rPr>
      </w:pPr>
      <w:r>
        <w:rPr>
          <w:color w:val="000000"/>
        </w:rPr>
        <w:t xml:space="preserve">NOTE: It has already been agreed in RAN2 that </w:t>
      </w:r>
      <w:r>
        <w:rPr>
          <w:i/>
          <w:iCs/>
        </w:rPr>
        <w:t>CG-SDT resource can be configured on either initial BWP or separate SDT BWP</w:t>
      </w:r>
      <w:r>
        <w:t>, if confirmed by RAN1.</w:t>
      </w:r>
    </w:p>
    <w:p>
      <w:pPr>
        <w:spacing w:after="0"/>
        <w:rPr>
          <w:i/>
          <w:iCs/>
        </w:rPr>
      </w:pPr>
    </w:p>
    <w:p>
      <w:pPr>
        <w:spacing w:after="0"/>
        <w:rPr>
          <w:iCs/>
          <w:color w:val="000000"/>
          <w:lang w:val="en-US" w:eastAsia="zh-CN"/>
        </w:rPr>
      </w:pPr>
      <w:r>
        <w:t xml:space="preserve">Q5: Does RAN1 think that BFD/BFR procedure is required for SDT and if needed, can RAN1 define the necessary procedure to support this? </w:t>
      </w:r>
    </w:p>
    <w:p>
      <w:pPr>
        <w:snapToGrid w:val="0"/>
        <w:spacing w:before="120" w:beforeLines="50" w:after="120" w:afterLines="50" w:line="240" w:lineRule="auto"/>
        <w:jc w:val="both"/>
        <w:rPr>
          <w:lang w:val="en-US" w:eastAsia="zh-CN"/>
        </w:rPr>
      </w:pPr>
      <w:r>
        <w:rPr>
          <w:rFonts w:hint="eastAsia" w:eastAsia="宋体"/>
          <w:lang w:val="en-US" w:eastAsia="zh-CN"/>
        </w:rPr>
        <w:t>I</w:t>
      </w:r>
      <w:r>
        <w:rPr>
          <w:rFonts w:eastAsia="宋体"/>
          <w:lang w:val="en-US" w:eastAsia="zh-CN"/>
        </w:rPr>
        <w:t xml:space="preserve">n this contribution, we discuss the remaining issues </w:t>
      </w:r>
      <w:r>
        <w:rPr>
          <w:rFonts w:hint="eastAsia" w:eastAsia="宋体"/>
          <w:lang w:val="en-US" w:eastAsia="zh-CN"/>
        </w:rPr>
        <w:t xml:space="preserve">on </w:t>
      </w:r>
      <w:r>
        <w:rPr>
          <w:rFonts w:eastAsia="宋体"/>
          <w:lang w:val="en-US" w:eastAsia="zh-CN"/>
        </w:rPr>
        <w:t>SSB to PUSCH mapping</w:t>
      </w:r>
      <w:r>
        <w:rPr>
          <w:rFonts w:hint="eastAsia" w:eastAsia="宋体"/>
          <w:lang w:val="en-US" w:eastAsia="zh-CN"/>
        </w:rPr>
        <w:t>, search space, BWP and L1 feedback mechanism. Furthermore, we also discuss the above five questions and provide our views.</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rPr>
          <w:lang w:val="en-US" w:eastAsia="zh-CN"/>
        </w:rPr>
      </w:pPr>
      <w:r>
        <w:rPr>
          <w:rFonts w:hint="eastAsia"/>
          <w:lang w:val="en-US" w:eastAsia="zh-CN"/>
        </w:rPr>
        <w:t xml:space="preserve"> </w:t>
      </w:r>
      <w:r>
        <w:rPr>
          <w:lang w:val="en-US" w:eastAsia="zh-CN"/>
        </w:rPr>
        <w:t>Mapping between SSB and CG resources</w:t>
      </w:r>
    </w:p>
    <w:p>
      <w:pPr>
        <w:snapToGrid w:val="0"/>
        <w:spacing w:before="120" w:after="120" w:line="240" w:lineRule="auto"/>
        <w:jc w:val="both"/>
        <w:rPr>
          <w:rFonts w:eastAsia="宋体"/>
          <w:lang w:val="en-US" w:eastAsia="zh-CN"/>
        </w:rPr>
      </w:pPr>
      <w:r>
        <w:rPr>
          <w:rFonts w:hint="eastAsia" w:eastAsia="宋体"/>
          <w:lang w:val="en-US" w:eastAsia="zh-CN"/>
        </w:rPr>
        <w:t>As discussed in previous</w:t>
      </w:r>
      <w:r>
        <w:rPr>
          <w:rFonts w:eastAsia="宋体"/>
          <w:lang w:val="en-US" w:eastAsia="zh-CN"/>
        </w:rPr>
        <w:t xml:space="preserve"> </w:t>
      </w:r>
      <w:r>
        <w:rPr>
          <w:rFonts w:hint="eastAsia" w:eastAsia="宋体"/>
          <w:lang w:val="en-US" w:eastAsia="zh-CN"/>
        </w:rPr>
        <w:t>RAN1 meetings,</w:t>
      </w:r>
      <w:r>
        <w:rPr>
          <w:rFonts w:eastAsia="宋体"/>
          <w:lang w:val="en-US" w:eastAsia="zh-CN"/>
        </w:rPr>
        <w:t xml:space="preserve"> </w:t>
      </w:r>
      <w:r>
        <w:rPr>
          <w:rFonts w:hint="eastAsia" w:eastAsia="宋体"/>
          <w:lang w:val="en-US" w:eastAsia="zh-CN"/>
        </w:rPr>
        <w:t>the</w:t>
      </w:r>
      <w:r>
        <w:rPr>
          <w:lang w:val="en-US"/>
        </w:rPr>
        <w:t xml:space="preserve"> implicit </w:t>
      </w:r>
      <w:r>
        <w:rPr>
          <w:rFonts w:hint="eastAsia" w:eastAsia="宋体"/>
          <w:lang w:val="en-US" w:eastAsia="zh-CN"/>
        </w:rPr>
        <w:t>mapping</w:t>
      </w:r>
      <w:r>
        <w:rPr>
          <w:lang w:val="en-US" w:eastAsia="zh-CN"/>
        </w:rPr>
        <w:t xml:space="preserve"> between SSB and CG resources</w:t>
      </w:r>
      <w:r>
        <w:rPr>
          <w:rFonts w:hint="eastAsia"/>
          <w:lang w:val="en-US" w:eastAsia="zh-CN"/>
        </w:rPr>
        <w:t xml:space="preserve"> </w:t>
      </w:r>
      <w:r>
        <w:rPr>
          <w:lang w:val="en-US" w:eastAsia="zh-CN"/>
        </w:rPr>
        <w:t>within the CG configuration</w:t>
      </w:r>
      <w:r>
        <w:rPr>
          <w:rFonts w:hint="eastAsia"/>
          <w:lang w:val="en-US" w:eastAsia="zh-CN"/>
        </w:rPr>
        <w:t xml:space="preserve"> and</w:t>
      </w:r>
      <w:r>
        <w:rPr>
          <w:lang w:val="en-US" w:eastAsia="zh-CN"/>
        </w:rPr>
        <w:t xml:space="preserve"> </w:t>
      </w:r>
      <w:r>
        <w:rPr>
          <w:rFonts w:hint="eastAsia"/>
          <w:lang w:val="en-US" w:eastAsia="zh-CN"/>
        </w:rPr>
        <w:t>the parameters of the CG related should be specified.</w:t>
      </w:r>
      <w:r>
        <w:rPr>
          <w:lang w:val="en-US" w:eastAsia="zh-CN"/>
        </w:rPr>
        <w:t xml:space="preserve"> </w:t>
      </w:r>
      <w:r>
        <w:rPr>
          <w:rFonts w:hint="eastAsia"/>
          <w:lang w:val="en-US" w:eastAsia="zh-CN"/>
        </w:rPr>
        <w:t xml:space="preserve">The general mapping procedure has already been determined, e.g., SSB set and mapping ratio through explicit signaling, association period implicitly derived. There are still some remaining issues related to mapping, such as candidate value set of mapping ratio, DMRS configuration, repetitions and HARQ process id determination. In the following subsections, the above issues are discussed. </w:t>
      </w:r>
    </w:p>
    <w:p>
      <w:pPr>
        <w:pStyle w:val="4"/>
        <w:rPr>
          <w:lang w:val="en-US" w:eastAsia="zh-CN"/>
        </w:rPr>
      </w:pPr>
      <w:r>
        <w:rPr>
          <w:rFonts w:hint="eastAsia"/>
          <w:lang w:val="en-US" w:eastAsia="zh-CN"/>
        </w:rPr>
        <w:t xml:space="preserve"> Mapping ratio</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r>
              <w:rPr>
                <w:highlight w:val="green"/>
              </w:rPr>
              <w:t>Agreement</w:t>
            </w:r>
          </w:p>
          <w:p>
            <w:pPr>
              <w:pStyle w:val="135"/>
              <w:numPr>
                <w:ilvl w:val="0"/>
                <w:numId w:val="14"/>
              </w:numPr>
              <w:rPr>
                <w:lang w:val="en-US"/>
              </w:rPr>
            </w:pPr>
            <w:r>
              <w:rPr>
                <w:lang w:val="en-US"/>
              </w:rPr>
              <w:t>Each N of consecutive SSB indexes associated to one CG configuration are mapped to valid CG PUSCH resources</w:t>
            </w:r>
          </w:p>
          <w:p>
            <w:pPr>
              <w:pStyle w:val="135"/>
              <w:numPr>
                <w:ilvl w:val="1"/>
                <w:numId w:val="14"/>
              </w:numPr>
              <w:rPr>
                <w:lang w:val="en-US"/>
              </w:rPr>
            </w:pPr>
            <w:r>
              <w:rPr>
                <w:lang w:val="en-US"/>
              </w:rPr>
              <w:t xml:space="preserve">first, in increasing order of DMRS resource indexes, where a DMRS resource index </w:t>
            </w:r>
            <w:r>
              <w:rPr>
                <w:lang w:val="en-US"/>
              </w:rPr>
              <w:drawing>
                <wp:inline distT="0" distB="0" distL="0" distR="0">
                  <wp:extent cx="332740" cy="121920"/>
                  <wp:effectExtent l="0" t="0" r="254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a:xfrm>
                            <a:off x="0" y="0"/>
                            <a:ext cx="332740" cy="121920"/>
                          </a:xfrm>
                          <a:prstGeom prst="rect">
                            <a:avLst/>
                          </a:prstGeom>
                          <a:noFill/>
                          <a:ln>
                            <a:noFill/>
                          </a:ln>
                        </pic:spPr>
                      </pic:pic>
                    </a:graphicData>
                  </a:graphic>
                </wp:inline>
              </w:drawing>
            </w:r>
            <w:r>
              <w:rPr>
                <w:lang w:val="en-US"/>
              </w:rPr>
              <w:t> is determined first in an ascending order of a DMRS port index and second in an ascending order of a DMRS sequence index</w:t>
            </w:r>
          </w:p>
          <w:p>
            <w:pPr>
              <w:pStyle w:val="135"/>
              <w:numPr>
                <w:ilvl w:val="1"/>
                <w:numId w:val="14"/>
              </w:numPr>
              <w:rPr>
                <w:lang w:val="en-US"/>
              </w:rPr>
            </w:pPr>
            <w:r>
              <w:rPr>
                <w:lang w:val="en-US"/>
              </w:rPr>
              <w:t>second, in increasing order of CG period indexes in the association period</w:t>
            </w:r>
          </w:p>
          <w:p>
            <w:pPr>
              <w:pStyle w:val="135"/>
              <w:numPr>
                <w:ilvl w:val="0"/>
                <w:numId w:val="14"/>
              </w:numPr>
              <w:rPr>
                <w:lang w:val="en-US"/>
              </w:rPr>
            </w:pPr>
            <w:r>
              <w:rPr>
                <w:lang w:val="en-US"/>
              </w:rPr>
              <w:t>The mapping ratio N is explicitly signalled and the association period is implicitly derived</w:t>
            </w:r>
          </w:p>
          <w:p>
            <w:pPr>
              <w:pStyle w:val="135"/>
              <w:numPr>
                <w:ilvl w:val="1"/>
                <w:numId w:val="14"/>
              </w:numPr>
              <w:rPr>
                <w:highlight w:val="yellow"/>
                <w:lang w:val="en-US"/>
              </w:rPr>
            </w:pPr>
            <w:r>
              <w:rPr>
                <w:highlight w:val="yellow"/>
                <w:lang w:val="en-US"/>
              </w:rPr>
              <w:t>FFS candidate value set of mapping ratio, and whether it is configured per CG configuration or per cell</w:t>
            </w:r>
          </w:p>
          <w:p>
            <w:pPr>
              <w:pStyle w:val="135"/>
              <w:numPr>
                <w:ilvl w:val="1"/>
                <w:numId w:val="14"/>
              </w:numPr>
              <w:rPr>
                <w:lang w:val="en-US"/>
              </w:rPr>
            </w:pPr>
            <w:r>
              <w:rPr>
                <w:lang w:val="en-US"/>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pStyle w:val="135"/>
              <w:numPr>
                <w:ilvl w:val="1"/>
                <w:numId w:val="14"/>
              </w:numPr>
              <w:rPr>
                <w:lang w:val="en-US"/>
              </w:rPr>
            </w:pPr>
            <w:r>
              <w:rPr>
                <w:lang w:val="en-US"/>
              </w:rPr>
              <w:t>An association pattern period includes one or more association periods and is determined so that a pattern between CG PUSCH occasions and SS/PBCH block indexes associated with the CG configuration repeats at most every 640 msec.</w:t>
            </w:r>
          </w:p>
          <w:p>
            <w:pPr>
              <w:pStyle w:val="135"/>
              <w:numPr>
                <w:ilvl w:val="0"/>
                <w:numId w:val="14"/>
              </w:numPr>
              <w:rPr>
                <w:rFonts w:eastAsia="宋体"/>
                <w:lang w:val="en-US" w:eastAsia="zh-CN"/>
              </w:rPr>
            </w:pPr>
            <w:r>
              <w:rPr>
                <w:lang w:val="en-US"/>
              </w:rPr>
              <w:t>Note: The mapping ordering and steps may be revisited if multiple CG PUSCH occasions in one CG period is supported</w:t>
            </w:r>
          </w:p>
        </w:tc>
      </w:tr>
    </w:tbl>
    <w:p>
      <w:pPr>
        <w:numPr>
          <w:ilvl w:val="255"/>
          <w:numId w:val="0"/>
        </w:numPr>
        <w:jc w:val="both"/>
        <w:rPr>
          <w:lang w:val="en-US" w:eastAsia="zh-CN"/>
        </w:rPr>
      </w:pPr>
      <w:r>
        <w:rPr>
          <w:rFonts w:hint="eastAsia"/>
          <w:lang w:val="en-US" w:eastAsia="zh-CN"/>
        </w:rPr>
        <w:t xml:space="preserve">As discussed in the last meeting, the general mapping procedure is determined, the mapping ratio N is explicitly </w:t>
      </w:r>
      <w:r>
        <w:rPr>
          <w:lang w:val="en-US" w:eastAsia="zh-CN"/>
        </w:rPr>
        <w:t>signaled,</w:t>
      </w:r>
      <w:r>
        <w:rPr>
          <w:rFonts w:hint="eastAsia"/>
          <w:lang w:val="en-US" w:eastAsia="zh-CN"/>
        </w:rPr>
        <w:t xml:space="preserve"> and the association period is implicitly derived. There is a remaining FFS part related to candidate value set of mapping ratio and whether it</w:t>
      </w:r>
      <w:r>
        <w:rPr>
          <w:lang w:val="en-US" w:eastAsia="zh-CN"/>
        </w:rPr>
        <w:t>’</w:t>
      </w:r>
      <w:r>
        <w:rPr>
          <w:rFonts w:hint="eastAsia"/>
          <w:lang w:val="en-US" w:eastAsia="zh-CN"/>
        </w:rPr>
        <w:t xml:space="preserve">s configured per CG configuration or per cell. </w:t>
      </w:r>
    </w:p>
    <w:p>
      <w:pPr>
        <w:numPr>
          <w:ilvl w:val="255"/>
          <w:numId w:val="0"/>
        </w:numPr>
        <w:jc w:val="both"/>
        <w:rPr>
          <w:lang w:val="en-US" w:eastAsia="zh-CN"/>
        </w:rPr>
      </w:pPr>
      <w:r>
        <w:rPr>
          <w:rFonts w:hint="eastAsia" w:eastAsia="宋体"/>
          <w:lang w:val="en-US" w:eastAsia="zh-CN"/>
        </w:rPr>
        <w:t>For the candidate value set of mapping ratio, it can reuse the mapping ratio of the SSB to RO mapping,</w:t>
      </w:r>
      <w:r>
        <w:rPr>
          <w:rFonts w:hint="eastAsia"/>
          <w:lang w:eastAsia="zh-CN"/>
        </w:rPr>
        <w:t xml:space="preserve"> e.g. {</w:t>
      </w:r>
      <w:r>
        <w:rPr>
          <w:lang w:eastAsia="zh-CN"/>
        </w:rPr>
        <w:t>1/8,1/4,1/2,1,2,4,8,16</w:t>
      </w:r>
      <w:r>
        <w:rPr>
          <w:rFonts w:hint="eastAsia"/>
          <w:lang w:eastAsia="zh-CN"/>
        </w:rPr>
        <w:t>}</w:t>
      </w:r>
      <w:r>
        <w:rPr>
          <w:rFonts w:hint="eastAsia"/>
          <w:lang w:val="en-US" w:eastAsia="zh-CN"/>
        </w:rPr>
        <w:t xml:space="preserve">, and ensure that </w:t>
      </w:r>
      <w:r>
        <w:t>all SSBs associated with the CG configuration are mapped at least once to CG PUSCH resources</w:t>
      </w:r>
      <w:r>
        <w:rPr>
          <w:rFonts w:hint="eastAsia" w:eastAsia="宋体"/>
          <w:lang w:val="en-US" w:eastAsia="zh-CN"/>
        </w:rPr>
        <w:t xml:space="preserve"> in one </w:t>
      </w:r>
      <w:r>
        <w:t>association period</w:t>
      </w:r>
      <w:r>
        <w:rPr>
          <w:rFonts w:hint="eastAsia"/>
          <w:lang w:val="en-US" w:eastAsia="zh-CN"/>
        </w:rPr>
        <w:t xml:space="preserve">. According to the previous agreements, the mapping is considered per CG configuration, and the SSB set for mapping is also configured per CG </w:t>
      </w:r>
      <w:r>
        <w:rPr>
          <w:lang w:val="en-US" w:eastAsia="zh-CN"/>
        </w:rPr>
        <w:t>configuration</w:t>
      </w:r>
      <w:r>
        <w:rPr>
          <w:rFonts w:hint="eastAsia"/>
          <w:lang w:val="en-US" w:eastAsia="zh-CN"/>
        </w:rPr>
        <w:t xml:space="preserve"> for CG-SDT, thus it</w:t>
      </w:r>
      <w:r>
        <w:rPr>
          <w:lang w:val="en-US" w:eastAsia="zh-CN"/>
        </w:rPr>
        <w:t>’</w:t>
      </w:r>
      <w:r>
        <w:rPr>
          <w:rFonts w:hint="eastAsia"/>
          <w:lang w:val="en-US" w:eastAsia="zh-CN"/>
        </w:rPr>
        <w:t xml:space="preserve">s natural that the mapping ratio is configured </w:t>
      </w:r>
      <w:r>
        <w:t>per CG configuration</w:t>
      </w:r>
      <w:r>
        <w:rPr>
          <w:rFonts w:hint="eastAsia" w:eastAsia="宋体"/>
          <w:lang w:val="en-US" w:eastAsia="zh-CN"/>
        </w:rPr>
        <w:t xml:space="preserve"> as well.</w:t>
      </w:r>
    </w:p>
    <w:p>
      <w:pPr>
        <w:numPr>
          <w:ilvl w:val="255"/>
          <w:numId w:val="0"/>
        </w:numPr>
        <w:rPr>
          <w:rFonts w:eastAsia="宋体"/>
          <w:b/>
          <w:bCs/>
          <w:i/>
          <w:iCs/>
          <w:lang w:val="en-US" w:eastAsia="zh-CN"/>
        </w:rPr>
      </w:pPr>
      <w:r>
        <w:rPr>
          <w:rFonts w:eastAsia="宋体"/>
          <w:b/>
          <w:bCs/>
          <w:i/>
          <w:iCs/>
          <w:lang w:val="en-US" w:eastAsia="zh-CN"/>
        </w:rPr>
        <w:t xml:space="preserve">Proposal </w:t>
      </w:r>
      <w:r>
        <w:rPr>
          <w:rFonts w:hint="eastAsia" w:eastAsia="宋体"/>
          <w:b/>
          <w:bCs/>
          <w:i/>
          <w:iCs/>
          <w:lang w:val="en-US" w:eastAsia="zh-CN"/>
        </w:rPr>
        <w:t>1</w:t>
      </w:r>
      <w:r>
        <w:rPr>
          <w:rFonts w:eastAsia="宋体"/>
          <w:b/>
          <w:bCs/>
          <w:i/>
          <w:iCs/>
          <w:lang w:val="en-US" w:eastAsia="zh-CN"/>
        </w:rPr>
        <w:t>:</w:t>
      </w:r>
      <w:r>
        <w:rPr>
          <w:rFonts w:hint="eastAsia" w:eastAsia="宋体"/>
          <w:b/>
          <w:bCs/>
          <w:i/>
          <w:iCs/>
          <w:lang w:val="en-US" w:eastAsia="zh-CN"/>
        </w:rPr>
        <w:t xml:space="preserve"> Reuse the </w:t>
      </w:r>
      <w:r>
        <w:rPr>
          <w:rFonts w:hint="eastAsia" w:eastAsia="宋体"/>
          <w:b/>
          <w:bCs/>
          <w:i/>
          <w:iCs/>
          <w:sz w:val="21"/>
          <w:szCs w:val="22"/>
          <w:lang w:val="en-US" w:eastAsia="zh-CN"/>
        </w:rPr>
        <w:t>mapping ratio value set of SSB to RO mapping for CG-SDT, and it should be per CG configuration.</w:t>
      </w:r>
    </w:p>
    <w:p>
      <w:pPr>
        <w:pStyle w:val="4"/>
        <w:rPr>
          <w:lang w:val="en-US" w:eastAsia="zh-CN"/>
        </w:rPr>
      </w:pPr>
      <w:r>
        <w:rPr>
          <w:rFonts w:hint="eastAsia"/>
          <w:lang w:val="en-US" w:eastAsia="zh-CN"/>
        </w:rPr>
        <w:t xml:space="preserve"> DMRS configuration</w:t>
      </w:r>
    </w:p>
    <w:tbl>
      <w:tblPr>
        <w:tblStyle w:val="26"/>
        <w:tblW w:w="9528"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8" w:type="dxa"/>
          </w:tcPr>
          <w:p>
            <w:r>
              <w:rPr>
                <w:highlight w:val="green"/>
              </w:rPr>
              <w:t>Agreement</w:t>
            </w:r>
          </w:p>
          <w:p>
            <w:pPr>
              <w:rPr>
                <w:lang w:val="en-US"/>
              </w:rPr>
            </w:pPr>
            <w:r>
              <w:rPr>
                <w:lang w:val="en-US"/>
              </w:rPr>
              <w:t>Support multiple DMRS resources per CG configuration when single layer PUSCH transmission is assumed, and each DMRS resource could be mapped to the same or different SSB(s)</w:t>
            </w:r>
          </w:p>
          <w:p>
            <w:pPr>
              <w:pStyle w:val="135"/>
              <w:numPr>
                <w:ilvl w:val="0"/>
                <w:numId w:val="15"/>
              </w:numPr>
              <w:rPr>
                <w:lang w:val="en-US"/>
              </w:rPr>
            </w:pPr>
            <w:r>
              <w:rPr>
                <w:lang w:val="en-US"/>
              </w:rPr>
              <w:t>FFS if multi-layer PUSCH transmission is supported for CG-SDT</w:t>
            </w:r>
          </w:p>
          <w:p>
            <w:pPr>
              <w:pStyle w:val="135"/>
              <w:numPr>
                <w:ilvl w:val="0"/>
                <w:numId w:val="15"/>
              </w:numPr>
              <w:rPr>
                <w:rFonts w:eastAsia="宋体"/>
                <w:lang w:val="en-US" w:eastAsia="zh-CN"/>
              </w:rPr>
            </w:pPr>
            <w:r>
              <w:rPr>
                <w:color w:val="000000"/>
                <w:lang w:val="en-US"/>
              </w:rPr>
              <w:t>FFS any limitation on the DMRS configuration if multiple CG PUSCH occasions per CG period is supported</w:t>
            </w:r>
          </w:p>
        </w:tc>
      </w:tr>
    </w:tbl>
    <w:p>
      <w:pPr>
        <w:numPr>
          <w:ilvl w:val="255"/>
          <w:numId w:val="0"/>
        </w:numPr>
        <w:spacing w:before="180" w:line="260" w:lineRule="auto"/>
        <w:jc w:val="both"/>
        <w:rPr>
          <w:lang w:val="en-US" w:eastAsia="zh-CN"/>
        </w:rPr>
      </w:pPr>
      <w:r>
        <w:rPr>
          <w:rFonts w:hint="eastAsia"/>
          <w:lang w:val="en-US" w:eastAsia="zh-CN"/>
        </w:rPr>
        <w:t xml:space="preserve">One remaining issue is whether multi-layer PUSCH transmission is supported for CG-SDT. Considering that CG-SDT is mainly </w:t>
      </w:r>
      <w:r>
        <w:rPr>
          <w:lang w:eastAsia="zh-CN"/>
        </w:rPr>
        <w:t>targeting for data transmission with small packet size</w:t>
      </w:r>
      <w:r>
        <w:rPr>
          <w:rFonts w:hint="eastAsia"/>
          <w:lang w:val="en-US" w:eastAsia="zh-CN"/>
        </w:rPr>
        <w:t>, we think t</w:t>
      </w:r>
      <w:r>
        <w:rPr>
          <w:rFonts w:hint="eastAsia"/>
          <w:lang w:eastAsia="zh-CN"/>
        </w:rPr>
        <w:t>here is</w:t>
      </w:r>
      <w:r>
        <w:rPr>
          <w:lang w:val="en-US" w:eastAsia="zh-CN"/>
        </w:rPr>
        <w:t xml:space="preserve"> no</w:t>
      </w:r>
      <w:r>
        <w:rPr>
          <w:rFonts w:hint="eastAsia"/>
          <w:lang w:eastAsia="zh-CN"/>
        </w:rPr>
        <w:t xml:space="preserve"> strong need to support multi-layer transmission for SDT. As for the spec impact, it potentially has impact on the mapping ratio, e.g., if 3</w:t>
      </w:r>
      <w:r>
        <w:rPr>
          <w:lang w:eastAsia="zh-CN"/>
        </w:rPr>
        <w:t>-layer</w:t>
      </w:r>
      <w:r>
        <w:rPr>
          <w:rFonts w:hint="eastAsia"/>
          <w:lang w:eastAsia="zh-CN"/>
        </w:rPr>
        <w:t xml:space="preserve"> transmission is supported, we need to consider to include values such as 1/3 in the candidate mapping ratio set.</w:t>
      </w:r>
      <w:r>
        <w:rPr>
          <w:rFonts w:hint="eastAsia"/>
          <w:lang w:val="en-US" w:eastAsia="zh-CN"/>
        </w:rPr>
        <w:t xml:space="preserve"> Therefore, we think there is no need to support multi-layer PUSCH transmission for CG-SDT. </w:t>
      </w:r>
    </w:p>
    <w:p>
      <w:pPr>
        <w:numPr>
          <w:ilvl w:val="255"/>
          <w:numId w:val="0"/>
        </w:numPr>
        <w:jc w:val="both"/>
        <w:rPr>
          <w:lang w:val="en-US" w:eastAsia="zh-CN"/>
        </w:rPr>
      </w:pPr>
      <w:r>
        <w:rPr>
          <w:rFonts w:hint="eastAsia"/>
          <w:lang w:val="en-US" w:eastAsia="zh-CN"/>
        </w:rPr>
        <w:t xml:space="preserve">Besides, as for the limitation on DMRS configuration if </w:t>
      </w:r>
      <w:r>
        <w:rPr>
          <w:color w:val="000000"/>
          <w:lang w:val="en-US"/>
        </w:rPr>
        <w:t>multiple CG PUSCH occasions per CG period is supported</w:t>
      </w:r>
      <w:r>
        <w:rPr>
          <w:rFonts w:hint="eastAsia" w:eastAsia="宋体"/>
          <w:color w:val="000000"/>
          <w:lang w:val="en-US" w:eastAsia="zh-CN"/>
        </w:rPr>
        <w:t xml:space="preserve">, </w:t>
      </w:r>
      <w:r>
        <w:rPr>
          <w:rFonts w:hint="eastAsia"/>
          <w:lang w:val="en-US" w:eastAsia="zh-CN"/>
        </w:rPr>
        <w:t>we cannot see the motivation to introduce multiple CG PUSCH</w:t>
      </w:r>
      <w:r>
        <w:rPr>
          <w:rFonts w:hint="eastAsia"/>
          <w:lang w:eastAsia="zh-CN"/>
        </w:rPr>
        <w:t xml:space="preserve"> </w:t>
      </w:r>
      <w:r>
        <w:rPr>
          <w:rFonts w:hint="eastAsia"/>
          <w:lang w:val="en-US" w:eastAsia="zh-CN"/>
        </w:rPr>
        <w:t>occasions per CG period, since the CG period configuration is flexible enough, the potential latency issue can be addressed by proper SSB and CG period configuration.</w:t>
      </w:r>
    </w:p>
    <w:p>
      <w:pPr>
        <w:numPr>
          <w:ilvl w:val="255"/>
          <w:numId w:val="0"/>
        </w:numPr>
        <w:rPr>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w:t>
      </w:r>
      <w:r>
        <w:rPr>
          <w:rFonts w:hint="eastAsia" w:eastAsia="宋体"/>
          <w:b/>
          <w:bCs/>
          <w:i/>
          <w:iCs/>
          <w:lang w:val="en-US" w:eastAsia="zh-CN"/>
        </w:rPr>
        <w:t xml:space="preserve"> Multi-layer PUSCH transmission is not supported for CG-SDT.</w:t>
      </w:r>
    </w:p>
    <w:p>
      <w:pPr>
        <w:pStyle w:val="4"/>
        <w:rPr>
          <w:lang w:val="en-US" w:eastAsia="zh-CN"/>
        </w:rPr>
      </w:pPr>
      <w:r>
        <w:rPr>
          <w:rFonts w:hint="eastAsia"/>
          <w:lang w:val="en-US" w:eastAsia="zh-CN"/>
        </w:rPr>
        <w:t xml:space="preserve"> Repetitions</w:t>
      </w:r>
    </w:p>
    <w:tbl>
      <w:tblPr>
        <w:tblStyle w:val="26"/>
        <w:tblW w:w="9528"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8" w:type="dxa"/>
          </w:tcPr>
          <w:p>
            <w:pPr>
              <w:pStyle w:val="135"/>
              <w:numPr>
                <w:ilvl w:val="255"/>
                <w:numId w:val="0"/>
              </w:numPr>
              <w:rPr>
                <w:rFonts w:eastAsia="宋体"/>
                <w:highlight w:val="yellow"/>
                <w:lang w:val="en-US" w:eastAsia="zh-CN"/>
              </w:rPr>
            </w:pPr>
            <w:r>
              <w:rPr>
                <w:rFonts w:hint="eastAsia" w:eastAsia="宋体"/>
                <w:highlight w:val="yellow"/>
                <w:lang w:val="en-US" w:eastAsia="zh-CN"/>
              </w:rPr>
              <w:t>Proposal 3.3a:</w:t>
            </w:r>
          </w:p>
          <w:p>
            <w:pPr>
              <w:pStyle w:val="135"/>
              <w:numPr>
                <w:ilvl w:val="255"/>
                <w:numId w:val="0"/>
              </w:numPr>
              <w:rPr>
                <w:rFonts w:eastAsia="宋体"/>
                <w:lang w:val="en-US" w:eastAsia="zh-CN"/>
              </w:rPr>
            </w:pPr>
            <w:r>
              <w:rPr>
                <w:rFonts w:hint="eastAsia" w:eastAsia="宋体"/>
                <w:lang w:val="en-US" w:eastAsia="zh-CN"/>
              </w:rPr>
              <w:t>Working assumption: The repetitions within one CG period are considered as a bundle of transmission occasions that are mapped to the same SSB(s), no additional specification rule is needed.</w:t>
            </w:r>
          </w:p>
          <w:p>
            <w:pPr>
              <w:pStyle w:val="135"/>
              <w:numPr>
                <w:ilvl w:val="255"/>
                <w:numId w:val="0"/>
              </w:numPr>
              <w:rPr>
                <w:rFonts w:eastAsia="宋体"/>
                <w:lang w:val="en-US" w:eastAsia="zh-CN"/>
              </w:rPr>
            </w:pPr>
          </w:p>
          <w:p>
            <w:pPr>
              <w:pStyle w:val="135"/>
              <w:numPr>
                <w:ilvl w:val="255"/>
                <w:numId w:val="0"/>
              </w:numPr>
              <w:rPr>
                <w:rFonts w:eastAsia="宋体"/>
                <w:highlight w:val="yellow"/>
                <w:lang w:val="en-US" w:eastAsia="zh-CN"/>
              </w:rPr>
            </w:pPr>
            <w:r>
              <w:rPr>
                <w:rFonts w:hint="eastAsia" w:eastAsia="宋体"/>
                <w:highlight w:val="yellow"/>
                <w:lang w:val="en-US" w:eastAsia="zh-CN"/>
              </w:rPr>
              <w:t>Proposal 3.3b:</w:t>
            </w:r>
          </w:p>
          <w:p>
            <w:pPr>
              <w:pStyle w:val="135"/>
              <w:numPr>
                <w:ilvl w:val="255"/>
                <w:numId w:val="0"/>
              </w:numPr>
              <w:rPr>
                <w:rFonts w:eastAsia="宋体"/>
                <w:lang w:val="en-US" w:eastAsia="zh-CN"/>
              </w:rPr>
            </w:pPr>
            <w:r>
              <w:rPr>
                <w:rFonts w:hint="eastAsia" w:eastAsia="宋体"/>
                <w:lang w:val="en-US" w:eastAsia="zh-CN"/>
              </w:rPr>
              <w:t>Repetition K&gt;1 is supported at least when a consistent number of valid repetitions across different CG periods can be guaranteed for each associated SSB.</w:t>
            </w:r>
          </w:p>
          <w:p>
            <w:pPr>
              <w:pStyle w:val="135"/>
              <w:numPr>
                <w:ilvl w:val="255"/>
                <w:numId w:val="0"/>
              </w:numPr>
              <w:rPr>
                <w:rFonts w:eastAsia="宋体"/>
                <w:lang w:val="en-US" w:eastAsia="zh-CN"/>
              </w:rPr>
            </w:pPr>
            <w:r>
              <w:rPr>
                <w:rFonts w:hint="eastAsia" w:eastAsia="宋体"/>
                <w:lang w:val="en-US" w:eastAsia="zh-CN"/>
              </w:rPr>
              <w:t>The repetitions within one CG period are considered as a bundle of transmission occasions that are mapped to the same SSB(s)</w:t>
            </w:r>
          </w:p>
          <w:p>
            <w:pPr>
              <w:pStyle w:val="135"/>
              <w:numPr>
                <w:ilvl w:val="255"/>
                <w:numId w:val="0"/>
              </w:numPr>
              <w:rPr>
                <w:rFonts w:eastAsia="宋体"/>
                <w:lang w:val="en-US" w:eastAsia="zh-CN"/>
              </w:rPr>
            </w:pPr>
            <w:r>
              <w:rPr>
                <w:rFonts w:hint="eastAsia" w:eastAsia="宋体"/>
                <w:lang w:val="en-US" w:eastAsia="zh-CN"/>
              </w:rPr>
              <w:t>FFS details if Rel-16 CG Type 1 repetition mechanism cannot work for CG-SDT in Rel-17.</w:t>
            </w:r>
          </w:p>
          <w:p>
            <w:pPr>
              <w:pStyle w:val="135"/>
              <w:numPr>
                <w:ilvl w:val="255"/>
                <w:numId w:val="0"/>
              </w:numPr>
              <w:rPr>
                <w:rFonts w:eastAsia="宋体"/>
                <w:lang w:val="en-US" w:eastAsia="zh-CN"/>
              </w:rPr>
            </w:pPr>
            <w:r>
              <w:rPr>
                <w:rFonts w:hint="eastAsia" w:eastAsia="宋体"/>
                <w:lang w:val="en-US" w:eastAsia="zh-CN"/>
              </w:rPr>
              <w:t>FFS if repetition can be supported or not when the number of valid repetitions across different CG periods for each associated SSB is not consistent.</w:t>
            </w:r>
          </w:p>
          <w:p>
            <w:pPr>
              <w:pStyle w:val="135"/>
              <w:numPr>
                <w:ilvl w:val="255"/>
                <w:numId w:val="0"/>
              </w:numPr>
              <w:rPr>
                <w:rFonts w:eastAsia="宋体"/>
                <w:lang w:val="en-US" w:eastAsia="zh-CN"/>
              </w:rPr>
            </w:pPr>
          </w:p>
        </w:tc>
      </w:tr>
    </w:tbl>
    <w:p>
      <w:pPr>
        <w:numPr>
          <w:ilvl w:val="255"/>
          <w:numId w:val="0"/>
        </w:numPr>
        <w:spacing w:before="180" w:line="260" w:lineRule="auto"/>
        <w:jc w:val="both"/>
        <w:rPr>
          <w:rFonts w:eastAsia="宋体"/>
          <w:lang w:val="en-US" w:eastAsia="zh-CN"/>
        </w:rPr>
      </w:pPr>
      <w:r>
        <w:rPr>
          <w:rFonts w:hint="eastAsia" w:eastAsia="宋体"/>
          <w:lang w:val="en-US" w:eastAsia="zh-CN"/>
        </w:rPr>
        <w:t>In RAN1#106e-meeting, the above 2 alternatives about repetitions are discussed. Some companies think that there is an unfairness issue if some of the repetitions are invalid in some of the CG periods. However, we think it can be guaranteed by gNB implementation, and there is no need to add further restriction in addition to current spec.</w:t>
      </w:r>
    </w:p>
    <w:p>
      <w:pPr>
        <w:numPr>
          <w:ilvl w:val="255"/>
          <w:numId w:val="0"/>
        </w:numPr>
        <w:rPr>
          <w:lang w:val="en-US" w:eastAsia="zh-CN"/>
        </w:rPr>
      </w:pPr>
      <w:r>
        <w:rPr>
          <w:rFonts w:eastAsia="宋体"/>
          <w:b/>
          <w:bCs/>
          <w:i/>
          <w:iCs/>
          <w:lang w:val="en-US" w:eastAsia="zh-CN"/>
        </w:rPr>
        <w:t xml:space="preserve">Proposal </w:t>
      </w:r>
      <w:r>
        <w:rPr>
          <w:rFonts w:hint="eastAsia" w:eastAsia="宋体"/>
          <w:b/>
          <w:bCs/>
          <w:i/>
          <w:iCs/>
          <w:lang w:val="en-US" w:eastAsia="zh-CN"/>
        </w:rPr>
        <w:t>3</w:t>
      </w:r>
      <w:r>
        <w:rPr>
          <w:rFonts w:eastAsia="宋体"/>
          <w:b/>
          <w:bCs/>
          <w:i/>
          <w:iCs/>
          <w:lang w:val="en-US" w:eastAsia="zh-CN"/>
        </w:rPr>
        <w:t>:</w:t>
      </w:r>
      <w:r>
        <w:rPr>
          <w:rFonts w:hint="eastAsia" w:eastAsia="宋体"/>
          <w:b/>
          <w:bCs/>
          <w:i/>
          <w:iCs/>
          <w:lang w:val="en-US" w:eastAsia="zh-CN"/>
        </w:rPr>
        <w:t xml:space="preserve"> For CG-SDT, </w:t>
      </w:r>
      <w:r>
        <w:rPr>
          <w:rFonts w:hint="eastAsia"/>
          <w:b/>
          <w:bCs/>
          <w:i/>
          <w:iCs/>
          <w:lang w:val="en-US" w:eastAsia="zh-CN"/>
        </w:rPr>
        <w:t>t</w:t>
      </w:r>
      <w:r>
        <w:rPr>
          <w:rFonts w:hint="eastAsia"/>
          <w:b/>
          <w:bCs/>
          <w:i/>
          <w:iCs/>
          <w:lang w:eastAsia="zh-CN"/>
        </w:rPr>
        <w:t>he repetitions are considered as a bundle of transmission occasions that are mapped to the same SSB(s)</w:t>
      </w:r>
      <w:r>
        <w:rPr>
          <w:b/>
          <w:bCs/>
          <w:i/>
          <w:iCs/>
          <w:lang w:eastAsia="zh-CN"/>
        </w:rPr>
        <w:t>.</w:t>
      </w:r>
    </w:p>
    <w:p>
      <w:pPr>
        <w:pStyle w:val="4"/>
        <w:rPr>
          <w:lang w:val="en-US" w:eastAsia="zh-CN"/>
        </w:rPr>
      </w:pPr>
      <w:r>
        <w:rPr>
          <w:rFonts w:hint="eastAsia"/>
          <w:lang w:val="en-US" w:eastAsia="zh-CN"/>
        </w:rPr>
        <w:t xml:space="preserve"> HARQ process ID determination</w:t>
      </w:r>
    </w:p>
    <w:p>
      <w:pPr>
        <w:jc w:val="both"/>
        <w:rPr>
          <w:rFonts w:eastAsia="宋体"/>
          <w:lang w:val="en-US" w:eastAsia="zh-CN"/>
        </w:rPr>
      </w:pPr>
      <w:r>
        <w:rPr>
          <w:rFonts w:hint="eastAsia" w:eastAsia="宋体"/>
          <w:lang w:val="en-US" w:eastAsia="zh-CN"/>
        </w:rPr>
        <w:t>For the determination of HARQ process id, in the current specification, there are two different mechanisms. One is URLLC framework, i.e. the HARQ process id is associated with time domain resource of UL transmission and it is derived from an equation. The other is NR-U framework, i.e. the selection of the HARQ process id is up to UE implementation.</w:t>
      </w:r>
    </w:p>
    <w:p>
      <w:pPr>
        <w:jc w:val="both"/>
        <w:rPr>
          <w:rFonts w:eastAsia="宋体"/>
          <w:lang w:val="en-US" w:eastAsia="zh-CN"/>
        </w:rPr>
      </w:pPr>
      <w:r>
        <w:rPr>
          <w:rFonts w:hint="eastAsia" w:eastAsia="宋体"/>
          <w:lang w:val="en-US" w:eastAsia="zh-CN"/>
        </w:rPr>
        <w:t xml:space="preserve">In case of licensed operation for SDT, since the first UL message may be missed by the network, the autonomous retransmission may be used. Otherwise, there will be a large delay before error will be detected. If autonomous retransmission is supported and HARQ process id is derived from the equation, since there is an association between SSB and CG resource, it may be difficult to select a SSB corresponding to the required HARQ process id, thus retransmission delay may be very large. For example, assume that SSB subset including SSB0, SSB1 and SSB2 is configured, the mapping ratio between SSB and CG resource is 1, in each CG occasion a single DMRS port is configured, and number </w:t>
      </w:r>
      <w:r>
        <w:rPr>
          <w:rFonts w:eastAsia="宋体"/>
          <w:lang w:val="en-US" w:eastAsia="zh-CN"/>
        </w:rPr>
        <w:t xml:space="preserve">of </w:t>
      </w:r>
      <w:r>
        <w:rPr>
          <w:rFonts w:hint="eastAsia" w:eastAsia="宋体"/>
          <w:lang w:val="en-US" w:eastAsia="zh-CN"/>
        </w:rPr>
        <w:t>HARQ process</w:t>
      </w:r>
      <w:r>
        <w:rPr>
          <w:rFonts w:eastAsia="宋体"/>
          <w:lang w:val="en-US" w:eastAsia="zh-CN"/>
        </w:rPr>
        <w:t>es</w:t>
      </w:r>
      <w:r>
        <w:rPr>
          <w:rFonts w:hint="eastAsia" w:eastAsia="宋体"/>
          <w:lang w:val="en-US" w:eastAsia="zh-CN"/>
        </w:rPr>
        <w:t xml:space="preserve"> is configured as 5. When SDT is triggered, assume that SSB 0 is selected. The UE performs the initial transmission using HARQ process id 0 as shown in figure 1. If network misses it, the UE will perform auto retransmission. If SSB 0 is still selected, retransmission will be performed after the fifteen CG periods and the delay is not acceptable. </w:t>
      </w:r>
    </w:p>
    <w:p>
      <w:pPr>
        <w:jc w:val="both"/>
      </w:pPr>
      <w:r>
        <w:drawing>
          <wp:inline distT="0" distB="0" distL="114300" distR="114300">
            <wp:extent cx="5964555" cy="1892300"/>
            <wp:effectExtent l="0" t="0" r="17145" b="1270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5964555" cy="1892300"/>
                    </a:xfrm>
                    <a:prstGeom prst="rect">
                      <a:avLst/>
                    </a:prstGeom>
                    <a:noFill/>
                    <a:ln>
                      <a:noFill/>
                    </a:ln>
                  </pic:spPr>
                </pic:pic>
              </a:graphicData>
            </a:graphic>
          </wp:inline>
        </w:drawing>
      </w:r>
    </w:p>
    <w:p>
      <w:pPr>
        <w:jc w:val="center"/>
        <w:rPr>
          <w:rFonts w:eastAsia="宋体"/>
          <w:lang w:val="en-US" w:eastAsia="zh-CN"/>
        </w:rPr>
      </w:pPr>
      <w:r>
        <w:rPr>
          <w:rFonts w:hint="eastAsia" w:eastAsia="宋体"/>
          <w:b/>
          <w:bCs/>
          <w:lang w:val="en-US" w:eastAsia="zh-CN"/>
        </w:rPr>
        <w:t>Figure 1</w:t>
      </w:r>
      <w:r>
        <w:rPr>
          <w:rFonts w:hint="eastAsia" w:eastAsia="宋体"/>
          <w:lang w:val="en-US" w:eastAsia="zh-CN"/>
        </w:rPr>
        <w:t xml:space="preserve"> UE autonomous retransmission delay</w:t>
      </w:r>
    </w:p>
    <w:p>
      <w:pPr>
        <w:pStyle w:val="133"/>
        <w:numPr>
          <w:ilvl w:val="255"/>
          <w:numId w:val="0"/>
        </w:numPr>
        <w:rPr>
          <w:rFonts w:eastAsia="Times New Roman"/>
          <w:sz w:val="20"/>
          <w:szCs w:val="20"/>
          <w:lang w:eastAsia="zh-CN"/>
        </w:rPr>
      </w:pPr>
      <w:r>
        <w:rPr>
          <w:rFonts w:hint="eastAsia"/>
          <w:sz w:val="20"/>
          <w:szCs w:val="20"/>
          <w:lang w:eastAsia="zh-CN"/>
        </w:rPr>
        <w:t xml:space="preserve">If </w:t>
      </w:r>
      <w:r>
        <w:rPr>
          <w:sz w:val="20"/>
          <w:szCs w:val="20"/>
          <w:lang w:eastAsia="zh-CN"/>
        </w:rPr>
        <w:t xml:space="preserve">a </w:t>
      </w:r>
      <w:r>
        <w:rPr>
          <w:rFonts w:hint="eastAsia"/>
          <w:sz w:val="20"/>
          <w:szCs w:val="20"/>
          <w:lang w:eastAsia="zh-CN"/>
        </w:rPr>
        <w:t xml:space="preserve">larger </w:t>
      </w:r>
      <w:r>
        <w:rPr>
          <w:sz w:val="20"/>
          <w:szCs w:val="20"/>
          <w:lang w:eastAsia="zh-CN"/>
        </w:rPr>
        <w:t xml:space="preserve">number of </w:t>
      </w:r>
      <w:r>
        <w:rPr>
          <w:rFonts w:hint="eastAsia"/>
          <w:sz w:val="20"/>
          <w:szCs w:val="20"/>
          <w:lang w:eastAsia="zh-CN"/>
        </w:rPr>
        <w:t>HARQ process</w:t>
      </w:r>
      <w:r>
        <w:rPr>
          <w:sz w:val="20"/>
          <w:szCs w:val="20"/>
          <w:lang w:eastAsia="zh-CN"/>
        </w:rPr>
        <w:t>es</w:t>
      </w:r>
      <w:r>
        <w:rPr>
          <w:rFonts w:hint="eastAsia"/>
          <w:sz w:val="20"/>
          <w:szCs w:val="20"/>
          <w:lang w:eastAsia="zh-CN"/>
        </w:rPr>
        <w:t xml:space="preserve"> is configured and/or associated period is across more CG periods, the retransmission delay is even larger.</w:t>
      </w:r>
      <w:r>
        <w:rPr>
          <w:rFonts w:hint="eastAsia" w:eastAsia="Times New Roman"/>
          <w:sz w:val="20"/>
          <w:szCs w:val="20"/>
          <w:lang w:eastAsia="zh-CN"/>
        </w:rPr>
        <w:t xml:space="preserve"> In order to reduce the delay, HARQ process id determination can reuse the mechanism in NR-U framework.</w:t>
      </w:r>
    </w:p>
    <w:p>
      <w:pPr>
        <w:pStyle w:val="133"/>
        <w:numPr>
          <w:ilvl w:val="255"/>
          <w:numId w:val="0"/>
        </w:numPr>
        <w:spacing w:after="180"/>
        <w:rPr>
          <w:rFonts w:eastAsia="宋体"/>
          <w:b/>
          <w:bCs/>
          <w:i/>
          <w:iCs/>
          <w:sz w:val="20"/>
          <w:lang w:eastAsia="zh-CN"/>
        </w:rPr>
      </w:pPr>
      <w:r>
        <w:rPr>
          <w:rFonts w:hint="eastAsia" w:eastAsia="宋体"/>
          <w:b/>
          <w:bCs/>
          <w:i/>
          <w:iCs/>
          <w:sz w:val="20"/>
          <w:lang w:eastAsia="zh-CN"/>
        </w:rPr>
        <w:t>Proposal 4: For CG-SDT in licensed band, if autonomous retransmission is supported, HARQ process id determination can reuse the mechanism in NR-U framework to reduce latency.</w:t>
      </w:r>
    </w:p>
    <w:p>
      <w:pPr>
        <w:pStyle w:val="3"/>
        <w:spacing w:after="240" w:line="260" w:lineRule="auto"/>
        <w:rPr>
          <w:lang w:val="en-US" w:eastAsia="zh-CN"/>
        </w:rPr>
      </w:pPr>
      <w:r>
        <w:rPr>
          <w:rFonts w:hint="eastAsia"/>
          <w:lang w:val="en-US" w:eastAsia="zh-CN"/>
        </w:rPr>
        <w:t xml:space="preserve"> Search space</w:t>
      </w:r>
    </w:p>
    <w:p>
      <w:pPr>
        <w:pStyle w:val="133"/>
        <w:spacing w:afterLines="50"/>
        <w:ind w:firstLine="0" w:firstLineChars="0"/>
        <w:rPr>
          <w:sz w:val="20"/>
          <w:szCs w:val="20"/>
          <w:lang w:eastAsia="zh-CN"/>
        </w:rPr>
      </w:pPr>
      <w:r>
        <w:rPr>
          <w:rFonts w:hint="eastAsia"/>
          <w:sz w:val="20"/>
          <w:szCs w:val="20"/>
          <w:lang w:eastAsia="zh-CN"/>
        </w:rPr>
        <w:t>For RA-SDT, the following agreement was made in RAN2:</w:t>
      </w:r>
    </w:p>
    <w:tbl>
      <w:tblPr>
        <w:tblStyle w:val="26"/>
        <w:tblW w:w="9480"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9480" w:type="dxa"/>
          </w:tcPr>
          <w:p>
            <w:pPr>
              <w:widowControl w:val="0"/>
              <w:spacing w:before="60"/>
              <w:rPr>
                <w:b/>
                <w:highlight w:val="green"/>
                <w:lang w:eastAsia="zh-CN"/>
              </w:rPr>
            </w:pPr>
            <w:r>
              <w:rPr>
                <w:b/>
                <w:highlight w:val="green"/>
                <w:lang w:eastAsia="zh-CN"/>
              </w:rPr>
              <w:t>Agreement:</w:t>
            </w:r>
          </w:p>
          <w:p>
            <w:pPr>
              <w:numPr>
                <w:ilvl w:val="0"/>
                <w:numId w:val="16"/>
              </w:numPr>
              <w:rPr>
                <w:lang w:eastAsia="zh-CN"/>
              </w:rPr>
            </w:pPr>
            <w:r>
              <w:rPr>
                <w:rFonts w:hint="eastAsia"/>
                <w:lang w:val="en-US" w:eastAsia="zh-CN"/>
              </w:rPr>
              <w:t xml:space="preserve"> </w:t>
            </w:r>
            <w:r>
              <w:rPr>
                <w:lang w:eastAsia="zh-CN"/>
              </w:rPr>
              <w:t>The separate search space is common to the UEs performing RA-SDT. Inform RAN1 of this agreement</w:t>
            </w:r>
          </w:p>
        </w:tc>
      </w:tr>
    </w:tbl>
    <w:p>
      <w:pPr>
        <w:pStyle w:val="133"/>
        <w:spacing w:before="120" w:beforeLines="50" w:afterLines="50"/>
        <w:ind w:firstLine="0" w:firstLineChars="0"/>
        <w:rPr>
          <w:rFonts w:eastAsia="宋体"/>
          <w:bCs/>
          <w:iCs/>
          <w:sz w:val="20"/>
          <w:szCs w:val="20"/>
          <w:lang w:eastAsia="zh-CN"/>
        </w:rPr>
      </w:pPr>
      <w:r>
        <w:rPr>
          <w:rFonts w:hint="eastAsia" w:eastAsia="宋体"/>
          <w:bCs/>
          <w:iCs/>
          <w:sz w:val="20"/>
          <w:szCs w:val="20"/>
          <w:lang w:eastAsia="zh-CN"/>
        </w:rPr>
        <w:t>In section 10.1 of TS 38.213, for common search space set, the different types are defined as below:</w:t>
      </w:r>
    </w:p>
    <w:p>
      <w:pPr>
        <w:rPr>
          <w:i/>
          <w:iCs/>
        </w:rPr>
      </w:pPr>
      <w:r>
        <w:rPr>
          <w:i/>
          <w:iCs/>
        </w:rPr>
        <w:t>A set of PDCCH candidates for a UE to monitor is defined in terms of PDCCH search space sets. A search space set can be a CSS set or a USS set. A UE monitors PDCCH candidates in one or more of the following search spaces sets</w:t>
      </w:r>
    </w:p>
    <w:p>
      <w:pPr>
        <w:pStyle w:val="51"/>
        <w:rPr>
          <w:i/>
          <w:iCs/>
        </w:rPr>
      </w:pPr>
      <w:r>
        <w:rPr>
          <w:i/>
          <w:iCs/>
        </w:rPr>
        <w:t>-</w:t>
      </w:r>
      <w:r>
        <w:rPr>
          <w:i/>
          <w:iCs/>
        </w:rPr>
        <w:tab/>
      </w:r>
      <w:r>
        <w:rPr>
          <w:i/>
          <w:iCs/>
          <w:highlight w:val="yellow"/>
        </w:rPr>
        <w:t xml:space="preserve">a Type0-PDCCH CSS </w:t>
      </w:r>
      <w:r>
        <w:rPr>
          <w:rFonts w:hint="eastAsia" w:eastAsia="Times New Roman"/>
          <w:lang w:val="en-US" w:eastAsia="zh-CN"/>
        </w:rPr>
        <w:t xml:space="preserve">set </w:t>
      </w:r>
      <w:r>
        <w:rPr>
          <w:i/>
          <w:iCs/>
          <w:lang w:val="en-US" w:eastAsia="zh-CN"/>
        </w:rPr>
        <w:t xml:space="preserve">configured by </w:t>
      </w:r>
      <w:r>
        <w:rPr>
          <w:i/>
          <w:iCs/>
        </w:rPr>
        <w:t>pdcch-ConfigSIB1</w:t>
      </w:r>
      <w:r>
        <w:rPr>
          <w:i/>
          <w:iCs/>
          <w:lang w:val="en-US"/>
        </w:rPr>
        <w:t xml:space="preserve"> </w:t>
      </w:r>
      <w:r>
        <w:rPr>
          <w:rFonts w:eastAsia="MS Mincho"/>
          <w:i/>
          <w:iCs/>
        </w:rPr>
        <w:t xml:space="preserve">in </w:t>
      </w:r>
      <w:r>
        <w:rPr>
          <w:i/>
          <w:iCs/>
          <w:lang w:val="en-US"/>
        </w:rPr>
        <w:t>MIB</w:t>
      </w:r>
      <w:r>
        <w:rPr>
          <w:i/>
          <w:iCs/>
          <w:lang w:val="en-US" w:eastAsia="zh-CN"/>
        </w:rPr>
        <w:t xml:space="preserve"> or by searchSpaceSIB1 in PDCCH-ConfigCommon</w:t>
      </w:r>
      <w:r>
        <w:rPr>
          <w:i/>
          <w:iCs/>
        </w:rPr>
        <w:t xml:space="preserve"> </w:t>
      </w:r>
      <w:r>
        <w:rPr>
          <w:i/>
          <w:iCs/>
          <w:lang w:val="en-US"/>
        </w:rPr>
        <w:t xml:space="preserve">or by </w:t>
      </w:r>
      <w:r>
        <w:rPr>
          <w:i/>
          <w:iCs/>
          <w:lang w:val="en-US" w:eastAsia="zh-CN"/>
        </w:rPr>
        <w:t>searchSpaceZero</w:t>
      </w:r>
      <w:r>
        <w:rPr>
          <w:i/>
          <w:iCs/>
        </w:rPr>
        <w:t xml:space="preserve"> </w:t>
      </w:r>
      <w:r>
        <w:rPr>
          <w:i/>
          <w:iCs/>
          <w:lang w:val="en-US" w:eastAsia="zh-CN"/>
        </w:rPr>
        <w:t>in PDCCH-ConfigCommon</w:t>
      </w:r>
      <w:r>
        <w:rPr>
          <w:i/>
          <w:iCs/>
        </w:rPr>
        <w:t xml:space="preserve"> for a DCI format with CRC scrambled by a SI-RNTI on </w:t>
      </w:r>
      <w:r>
        <w:rPr>
          <w:i/>
          <w:iCs/>
          <w:lang w:val="en-US"/>
        </w:rPr>
        <w:t>the</w:t>
      </w:r>
      <w:r>
        <w:rPr>
          <w:i/>
          <w:iCs/>
        </w:rPr>
        <w:t xml:space="preserve"> primary cell</w:t>
      </w:r>
      <w:r>
        <w:rPr>
          <w:i/>
          <w:iCs/>
          <w:lang w:val="en-US"/>
        </w:rPr>
        <w:t xml:space="preserve"> of the MCG</w:t>
      </w:r>
    </w:p>
    <w:p>
      <w:pPr>
        <w:pStyle w:val="51"/>
        <w:rPr>
          <w:i/>
          <w:iCs/>
        </w:rPr>
      </w:pPr>
      <w:r>
        <w:rPr>
          <w:i/>
          <w:iCs/>
        </w:rPr>
        <w:t>-</w:t>
      </w:r>
      <w:r>
        <w:rPr>
          <w:i/>
          <w:iCs/>
        </w:rPr>
        <w:tab/>
      </w:r>
      <w:r>
        <w:rPr>
          <w:i/>
          <w:iCs/>
          <w:highlight w:val="yellow"/>
        </w:rPr>
        <w:t xml:space="preserve">a Type0A-PDCCH CSS </w:t>
      </w:r>
      <w:r>
        <w:rPr>
          <w:i/>
          <w:iCs/>
          <w:highlight w:val="yellow"/>
          <w:lang w:val="en-US"/>
        </w:rPr>
        <w:t>set</w:t>
      </w:r>
      <w:r>
        <w:rPr>
          <w:i/>
          <w:iCs/>
          <w:lang w:val="en-US"/>
        </w:rPr>
        <w:t xml:space="preserve"> </w:t>
      </w:r>
      <w:r>
        <w:rPr>
          <w:i/>
          <w:iCs/>
          <w:lang w:val="en-US" w:eastAsia="zh-CN"/>
        </w:rPr>
        <w:t>configured by searchSpaceOtherSystemInformation in PDCCH-ConfigCommon</w:t>
      </w:r>
      <w:r>
        <w:rPr>
          <w:i/>
          <w:iCs/>
        </w:rPr>
        <w:t xml:space="preserve"> for a DCI format with CRC scrambled by a SI-RNTI on </w:t>
      </w:r>
      <w:r>
        <w:rPr>
          <w:i/>
          <w:iCs/>
          <w:lang w:val="en-US"/>
        </w:rPr>
        <w:t>the</w:t>
      </w:r>
      <w:r>
        <w:rPr>
          <w:i/>
          <w:iCs/>
        </w:rPr>
        <w:t xml:space="preserve"> primary cell</w:t>
      </w:r>
      <w:r>
        <w:rPr>
          <w:i/>
          <w:iCs/>
          <w:lang w:val="en-US"/>
        </w:rPr>
        <w:t xml:space="preserve"> of the MCG</w:t>
      </w:r>
    </w:p>
    <w:p>
      <w:pPr>
        <w:pStyle w:val="51"/>
        <w:rPr>
          <w:i/>
          <w:iCs/>
        </w:rPr>
      </w:pPr>
      <w:r>
        <w:rPr>
          <w:i/>
          <w:iCs/>
        </w:rPr>
        <w:t>-</w:t>
      </w:r>
      <w:r>
        <w:rPr>
          <w:i/>
          <w:iCs/>
        </w:rPr>
        <w:tab/>
      </w:r>
      <w:r>
        <w:rPr>
          <w:i/>
          <w:iCs/>
          <w:highlight w:val="yellow"/>
        </w:rPr>
        <w:t xml:space="preserve">a Type1-PDCCH CSS </w:t>
      </w:r>
      <w:r>
        <w:rPr>
          <w:i/>
          <w:iCs/>
          <w:highlight w:val="yellow"/>
          <w:lang w:val="en-US"/>
        </w:rPr>
        <w:t xml:space="preserve">set </w:t>
      </w:r>
      <w:r>
        <w:rPr>
          <w:i/>
          <w:iCs/>
          <w:lang w:val="en-US" w:eastAsia="zh-CN"/>
        </w:rPr>
        <w:t>configured by ra-SearchSpace in PDCCH-ConfigCommon</w:t>
      </w:r>
      <w:r>
        <w:rPr>
          <w:i/>
          <w:iCs/>
        </w:rPr>
        <w:t xml:space="preserve"> for a DCI format with CRC scrambled by a RA-RNTI, a MsgB-RNTI, or a TC-RNTI on </w:t>
      </w:r>
      <w:r>
        <w:rPr>
          <w:i/>
          <w:iCs/>
          <w:lang w:val="en-US"/>
        </w:rPr>
        <w:t>the</w:t>
      </w:r>
      <w:r>
        <w:rPr>
          <w:i/>
          <w:iCs/>
        </w:rPr>
        <w:t xml:space="preserve"> primary cell</w:t>
      </w:r>
    </w:p>
    <w:p>
      <w:pPr>
        <w:pStyle w:val="51"/>
        <w:rPr>
          <w:i/>
          <w:iCs/>
        </w:rPr>
      </w:pPr>
      <w:r>
        <w:rPr>
          <w:i/>
          <w:iCs/>
        </w:rPr>
        <w:t>-</w:t>
      </w:r>
      <w:r>
        <w:rPr>
          <w:i/>
          <w:iCs/>
        </w:rPr>
        <w:tab/>
      </w:r>
      <w:r>
        <w:rPr>
          <w:i/>
          <w:iCs/>
          <w:highlight w:val="yellow"/>
        </w:rPr>
        <w:t xml:space="preserve">a Type2-PDCCH CSS </w:t>
      </w:r>
      <w:r>
        <w:rPr>
          <w:i/>
          <w:iCs/>
          <w:highlight w:val="yellow"/>
          <w:lang w:val="en-US"/>
        </w:rPr>
        <w:t>set</w:t>
      </w:r>
      <w:r>
        <w:rPr>
          <w:i/>
          <w:iCs/>
          <w:lang w:val="en-US"/>
        </w:rPr>
        <w:t xml:space="preserve"> </w:t>
      </w:r>
      <w:r>
        <w:rPr>
          <w:i/>
          <w:iCs/>
          <w:lang w:val="en-US" w:eastAsia="zh-CN"/>
        </w:rPr>
        <w:t>configured by pagingSearchSpace</w:t>
      </w:r>
      <w:r>
        <w:rPr>
          <w:i/>
          <w:iCs/>
        </w:rPr>
        <w:t xml:space="preserve"> </w:t>
      </w:r>
      <w:r>
        <w:rPr>
          <w:i/>
          <w:iCs/>
          <w:lang w:val="en-US" w:eastAsia="zh-CN"/>
        </w:rPr>
        <w:t>in PDCCH-ConfigCommon</w:t>
      </w:r>
      <w:r>
        <w:rPr>
          <w:i/>
          <w:iCs/>
        </w:rPr>
        <w:t xml:space="preserve"> for a DCI format with CRC scrambled by a P-RNTI on </w:t>
      </w:r>
      <w:r>
        <w:rPr>
          <w:i/>
          <w:iCs/>
          <w:lang w:val="en-US"/>
        </w:rPr>
        <w:t>the</w:t>
      </w:r>
      <w:r>
        <w:rPr>
          <w:i/>
          <w:iCs/>
        </w:rPr>
        <w:t xml:space="preserve"> primary cell</w:t>
      </w:r>
      <w:r>
        <w:rPr>
          <w:i/>
          <w:iCs/>
          <w:lang w:val="en-US"/>
        </w:rPr>
        <w:t xml:space="preserve"> of the MCG</w:t>
      </w:r>
    </w:p>
    <w:p>
      <w:pPr>
        <w:pStyle w:val="51"/>
        <w:rPr>
          <w:i/>
          <w:iCs/>
        </w:rPr>
      </w:pPr>
      <w:r>
        <w:rPr>
          <w:i/>
          <w:iCs/>
        </w:rPr>
        <w:t>-</w:t>
      </w:r>
      <w:r>
        <w:rPr>
          <w:i/>
          <w:iCs/>
        </w:rPr>
        <w:tab/>
      </w:r>
      <w:r>
        <w:rPr>
          <w:i/>
          <w:iCs/>
          <w:highlight w:val="yellow"/>
        </w:rPr>
        <w:t xml:space="preserve">a Type3-PDCCH CSS </w:t>
      </w:r>
      <w:r>
        <w:rPr>
          <w:i/>
          <w:iCs/>
          <w:highlight w:val="yellow"/>
          <w:lang w:val="en-US"/>
        </w:rPr>
        <w:t>set</w:t>
      </w:r>
      <w:r>
        <w:rPr>
          <w:i/>
          <w:iCs/>
          <w:lang w:val="en-US"/>
        </w:rPr>
        <w:t xml:space="preserve"> </w:t>
      </w:r>
      <w:r>
        <w:rPr>
          <w:i/>
          <w:iCs/>
          <w:lang w:val="en-US" w:eastAsia="zh-CN"/>
        </w:rPr>
        <w:t xml:space="preserve">configured by SearchSpace in PDCCH-Config with searchSpaceType = common </w:t>
      </w:r>
      <w:r>
        <w:rPr>
          <w:i/>
          <w:iCs/>
        </w:rPr>
        <w:t>for DCI format</w:t>
      </w:r>
      <w:r>
        <w:rPr>
          <w:i/>
          <w:iCs/>
          <w:lang w:val="en-US"/>
        </w:rPr>
        <w:t>s</w:t>
      </w:r>
      <w:r>
        <w:rPr>
          <w:i/>
          <w:iCs/>
        </w:rPr>
        <w:t xml:space="preserve"> with CRC scrambled by INT-RNTI, SFI-RNTI, TPC-PUSCH-RNTI, TPC-PUCCH-RNTI, TPC-SRS-RNTI</w:t>
      </w:r>
      <w:r>
        <w:rPr>
          <w:i/>
          <w:iCs/>
          <w:lang w:val="en-US"/>
        </w:rPr>
        <w:t>, or CI-RNTI and</w:t>
      </w:r>
      <w:r>
        <w:rPr>
          <w:i/>
          <w:iCs/>
        </w:rPr>
        <w:t xml:space="preserve">, </w:t>
      </w:r>
      <w:r>
        <w:rPr>
          <w:i/>
          <w:iCs/>
          <w:lang w:val="en-US"/>
        </w:rPr>
        <w:t>only for the primary cell,</w:t>
      </w:r>
      <w:r>
        <w:rPr>
          <w:i/>
          <w:iCs/>
        </w:rPr>
        <w:t xml:space="preserve"> C-RNTI, </w:t>
      </w:r>
      <w:r>
        <w:rPr>
          <w:i/>
          <w:iCs/>
          <w:lang w:val="en-US"/>
        </w:rPr>
        <w:t xml:space="preserve">MCS-C-RNTI, </w:t>
      </w:r>
      <w:r>
        <w:rPr>
          <w:i/>
          <w:iCs/>
        </w:rPr>
        <w:t>CS-RNTI(s)</w:t>
      </w:r>
      <w:r>
        <w:rPr>
          <w:i/>
          <w:iCs/>
          <w:lang w:val="en-US"/>
        </w:rPr>
        <w:t>,</w:t>
      </w:r>
      <w:r>
        <w:rPr>
          <w:i/>
          <w:iCs/>
        </w:rPr>
        <w:t xml:space="preserve"> or PS-RNTI and</w:t>
      </w:r>
    </w:p>
    <w:p>
      <w:pPr>
        <w:pStyle w:val="51"/>
        <w:rPr>
          <w:i/>
          <w:iCs/>
        </w:rPr>
      </w:pPr>
      <w:r>
        <w:rPr>
          <w:i/>
          <w:iCs/>
        </w:rPr>
        <w:t>-</w:t>
      </w:r>
      <w:r>
        <w:rPr>
          <w:i/>
          <w:iCs/>
        </w:rPr>
        <w:tab/>
      </w:r>
      <w:r>
        <w:rPr>
          <w:i/>
          <w:iCs/>
        </w:rPr>
        <w:t xml:space="preserve">a USS </w:t>
      </w:r>
      <w:r>
        <w:rPr>
          <w:i/>
          <w:iCs/>
          <w:lang w:val="en-US"/>
        </w:rPr>
        <w:t xml:space="preserve">set </w:t>
      </w:r>
      <w:r>
        <w:rPr>
          <w:i/>
          <w:iCs/>
          <w:lang w:val="en-US" w:eastAsia="zh-CN"/>
        </w:rPr>
        <w:t xml:space="preserve">configured by SearchSpace in PDCCH-Config with searchSpaceType = </w:t>
      </w:r>
      <w:r>
        <w:rPr>
          <w:i/>
          <w:iCs/>
        </w:rPr>
        <w:t>ue-Specific</w:t>
      </w:r>
      <w:r>
        <w:rPr>
          <w:i/>
          <w:iCs/>
          <w:lang w:val="en-US" w:eastAsia="zh-CN"/>
        </w:rPr>
        <w:t xml:space="preserve"> </w:t>
      </w:r>
      <w:r>
        <w:rPr>
          <w:i/>
          <w:iCs/>
        </w:rPr>
        <w:t>for DCI format</w:t>
      </w:r>
      <w:r>
        <w:rPr>
          <w:i/>
          <w:iCs/>
          <w:lang w:val="en-US"/>
        </w:rPr>
        <w:t>s</w:t>
      </w:r>
      <w:r>
        <w:rPr>
          <w:i/>
          <w:iCs/>
        </w:rPr>
        <w:t xml:space="preserve"> with CRC scrambled by C-RNTI</w:t>
      </w:r>
      <w:r>
        <w:rPr>
          <w:i/>
          <w:iCs/>
          <w:lang w:val="en-US"/>
        </w:rPr>
        <w:t>,</w:t>
      </w:r>
      <w:r>
        <w:rPr>
          <w:i/>
          <w:iCs/>
        </w:rPr>
        <w:t xml:space="preserve"> </w:t>
      </w:r>
      <w:r>
        <w:rPr>
          <w:i/>
          <w:iCs/>
          <w:lang w:val="en-US"/>
        </w:rPr>
        <w:t xml:space="preserve">MCS-C-RNTI, SP-CSI-RNTI, </w:t>
      </w:r>
      <w:r>
        <w:rPr>
          <w:i/>
          <w:iCs/>
        </w:rPr>
        <w:t>CS-RNTI(s)</w:t>
      </w:r>
      <w:r>
        <w:rPr>
          <w:i/>
          <w:iCs/>
          <w:lang w:val="en-US"/>
        </w:rPr>
        <w:t>,</w:t>
      </w:r>
      <w:r>
        <w:rPr>
          <w:i/>
          <w:iCs/>
          <w:lang w:eastAsia="zh-CN"/>
        </w:rPr>
        <w:t xml:space="preserve"> SL</w:t>
      </w:r>
      <w:r>
        <w:rPr>
          <w:rFonts w:hint="eastAsia"/>
          <w:i/>
          <w:iCs/>
          <w:lang w:eastAsia="zh-CN"/>
        </w:rPr>
        <w:t>-RNTI</w:t>
      </w:r>
      <w:r>
        <w:rPr>
          <w:i/>
          <w:iCs/>
          <w:lang w:eastAsia="zh-CN"/>
        </w:rPr>
        <w:t xml:space="preserve">, </w:t>
      </w:r>
      <w:r>
        <w:rPr>
          <w:i/>
          <w:iCs/>
        </w:rPr>
        <w:t>SL-CS-RNTI</w:t>
      </w:r>
      <w:r>
        <w:rPr>
          <w:i/>
          <w:iCs/>
          <w:lang w:val="en-US"/>
        </w:rPr>
        <w:t xml:space="preserve">, or </w:t>
      </w:r>
      <w:r>
        <w:rPr>
          <w:i/>
          <w:iCs/>
        </w:rPr>
        <w:t>SL Semi-Persistent Scheduling V-RNTI.</w:t>
      </w:r>
    </w:p>
    <w:p>
      <w:pPr>
        <w:pStyle w:val="133"/>
        <w:spacing w:afterLines="50"/>
        <w:ind w:firstLine="0" w:firstLineChars="0"/>
        <w:rPr>
          <w:rFonts w:eastAsia="宋体"/>
          <w:bCs/>
          <w:iCs/>
          <w:sz w:val="20"/>
          <w:szCs w:val="20"/>
          <w:lang w:eastAsia="zh-CN"/>
        </w:rPr>
      </w:pPr>
      <w:r>
        <w:rPr>
          <w:rFonts w:hint="eastAsia" w:eastAsia="宋体"/>
          <w:bCs/>
          <w:iCs/>
          <w:sz w:val="20"/>
          <w:szCs w:val="20"/>
          <w:lang w:eastAsia="zh-CN"/>
        </w:rPr>
        <w:t xml:space="preserve">According to specification description above, the newly introduced common search space for RA-SDT should be defined as a new type, such as </w:t>
      </w:r>
      <w:r>
        <w:rPr>
          <w:rFonts w:hint="eastAsia" w:eastAsia="宋体"/>
          <w:bCs/>
          <w:i/>
          <w:sz w:val="20"/>
          <w:szCs w:val="20"/>
          <w:lang w:eastAsia="zh-CN"/>
        </w:rPr>
        <w:t>Type4-PDCCH CSS set</w:t>
      </w:r>
      <w:r>
        <w:rPr>
          <w:rFonts w:hint="eastAsia" w:eastAsia="宋体"/>
          <w:bCs/>
          <w:iCs/>
          <w:sz w:val="20"/>
          <w:szCs w:val="20"/>
          <w:lang w:eastAsia="zh-CN"/>
        </w:rPr>
        <w:t>.</w:t>
      </w:r>
    </w:p>
    <w:p>
      <w:pPr>
        <w:pStyle w:val="133"/>
        <w:spacing w:afterLines="50"/>
        <w:ind w:firstLine="0" w:firstLineChars="0"/>
        <w:rPr>
          <w:rFonts w:eastAsia="宋体"/>
          <w:b/>
          <w:i/>
          <w:sz w:val="20"/>
          <w:szCs w:val="20"/>
          <w:lang w:eastAsia="zh-CN"/>
        </w:rPr>
      </w:pPr>
      <w:r>
        <w:rPr>
          <w:rFonts w:hint="eastAsia" w:eastAsia="宋体"/>
          <w:b/>
          <w:i/>
          <w:sz w:val="20"/>
          <w:szCs w:val="20"/>
          <w:lang w:eastAsia="zh-CN"/>
        </w:rPr>
        <w:t>Proposal 5: Since a separate common search space for RA-SDT is supported, a new type should be defined</w:t>
      </w:r>
      <w:r>
        <w:rPr>
          <w:rFonts w:eastAsia="宋体"/>
          <w:b/>
          <w:i/>
          <w:sz w:val="20"/>
          <w:szCs w:val="20"/>
          <w:lang w:eastAsia="zh-CN"/>
        </w:rPr>
        <w:t xml:space="preserve"> in </w:t>
      </w:r>
      <w:r>
        <w:rPr>
          <w:rFonts w:hint="eastAsia" w:eastAsia="宋体"/>
          <w:b/>
          <w:i/>
          <w:sz w:val="20"/>
          <w:szCs w:val="20"/>
          <w:lang w:eastAsia="zh-CN"/>
        </w:rPr>
        <w:t xml:space="preserve">TS </w:t>
      </w:r>
      <w:r>
        <w:rPr>
          <w:rFonts w:eastAsia="宋体"/>
          <w:b/>
          <w:i/>
          <w:sz w:val="20"/>
          <w:szCs w:val="20"/>
          <w:lang w:eastAsia="zh-CN"/>
        </w:rPr>
        <w:t>38.213</w:t>
      </w:r>
      <w:r>
        <w:rPr>
          <w:rFonts w:hint="eastAsia" w:eastAsia="宋体"/>
          <w:b/>
          <w:i/>
          <w:sz w:val="20"/>
          <w:szCs w:val="20"/>
          <w:lang w:eastAsia="zh-CN"/>
        </w:rPr>
        <w:t>, such as Type4-PDCCH CSS set.</w:t>
      </w:r>
    </w:p>
    <w:p>
      <w:pPr>
        <w:pStyle w:val="133"/>
        <w:spacing w:afterLines="50"/>
        <w:ind w:firstLine="0" w:firstLineChars="0"/>
        <w:rPr>
          <w:rFonts w:eastAsia="宋体"/>
          <w:bCs/>
          <w:iCs/>
          <w:sz w:val="20"/>
          <w:szCs w:val="20"/>
          <w:lang w:eastAsia="zh-CN"/>
        </w:rPr>
      </w:pPr>
    </w:p>
    <w:p>
      <w:pPr>
        <w:pStyle w:val="133"/>
        <w:spacing w:afterLines="50"/>
        <w:ind w:firstLine="0" w:firstLineChars="0"/>
        <w:rPr>
          <w:rFonts w:eastAsia="宋体"/>
          <w:bCs/>
          <w:iCs/>
          <w:sz w:val="20"/>
          <w:szCs w:val="20"/>
          <w:lang w:eastAsia="zh-CN"/>
        </w:rPr>
      </w:pPr>
      <w:r>
        <w:rPr>
          <w:rFonts w:hint="eastAsia" w:eastAsia="宋体"/>
          <w:bCs/>
          <w:iCs/>
          <w:sz w:val="20"/>
          <w:szCs w:val="20"/>
          <w:lang w:eastAsia="zh-CN"/>
        </w:rPr>
        <w:t>For CG-SDT, the following working assumption was made in RAN2:</w:t>
      </w:r>
    </w:p>
    <w:tbl>
      <w:tblPr>
        <w:tblStyle w:val="26"/>
        <w:tblW w:w="9494"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pStyle w:val="133"/>
              <w:widowControl w:val="0"/>
              <w:spacing w:before="60"/>
              <w:ind w:left="200" w:firstLine="0" w:firstLineChars="0"/>
              <w:rPr>
                <w:b/>
                <w:sz w:val="20"/>
                <w:szCs w:val="20"/>
                <w:highlight w:val="green"/>
                <w:lang w:eastAsia="zh-CN"/>
              </w:rPr>
            </w:pPr>
            <w:r>
              <w:rPr>
                <w:b/>
                <w:sz w:val="20"/>
                <w:szCs w:val="20"/>
                <w:highlight w:val="green"/>
                <w:lang w:eastAsia="zh-CN"/>
              </w:rPr>
              <w:t>Agreement:</w:t>
            </w:r>
          </w:p>
          <w:p>
            <w:pPr>
              <w:pStyle w:val="133"/>
              <w:widowControl w:val="0"/>
              <w:ind w:left="200" w:firstLine="0" w:firstLineChars="0"/>
              <w:rPr>
                <w:lang w:eastAsia="zh-CN"/>
              </w:rPr>
            </w:pPr>
            <w:r>
              <w:rPr>
                <w:i/>
                <w:iCs/>
                <w:sz w:val="20"/>
                <w:szCs w:val="20"/>
                <w:u w:val="single"/>
              </w:rPr>
              <w:t>Working assumption</w:t>
            </w:r>
            <w:r>
              <w:rPr>
                <w:i/>
                <w:iCs/>
                <w:sz w:val="20"/>
                <w:szCs w:val="20"/>
              </w:rPr>
              <w:t>: UE-specific search space is configured for UEs performing CG-SDT. RAN2 asks RAN1 whether this working assumption can be confirmed</w:t>
            </w:r>
          </w:p>
        </w:tc>
      </w:tr>
    </w:tbl>
    <w:p>
      <w:pPr>
        <w:pStyle w:val="133"/>
        <w:spacing w:before="120" w:beforeLines="50" w:afterLines="50"/>
        <w:ind w:firstLine="0" w:firstLineChars="0"/>
        <w:rPr>
          <w:rFonts w:eastAsia="宋体"/>
          <w:bCs/>
          <w:iCs/>
          <w:sz w:val="20"/>
          <w:lang w:eastAsia="zh-CN"/>
        </w:rPr>
      </w:pPr>
      <w:r>
        <w:rPr>
          <w:rFonts w:hint="eastAsia" w:eastAsia="宋体"/>
          <w:bCs/>
          <w:iCs/>
          <w:sz w:val="20"/>
          <w:lang w:eastAsia="zh-CN"/>
        </w:rPr>
        <w:t>For CG-SDT, in order to avoid congestion, it is beneficial to configure UE-specific search space. In addition, if the existing DFI mechanism is reused, DCI 0_1 will be used to indicate HARQ-ACK for PUSCH transmission. Since DCI 0_1 is monitored in UE-specific search space, UE-specific search space should be configured for UEs performing CG-SDT.</w:t>
      </w:r>
    </w:p>
    <w:p>
      <w:pPr>
        <w:pStyle w:val="133"/>
        <w:numPr>
          <w:ilvl w:val="255"/>
          <w:numId w:val="0"/>
        </w:numPr>
        <w:spacing w:after="18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6</w:t>
      </w:r>
      <w:r>
        <w:rPr>
          <w:rFonts w:eastAsia="宋体"/>
          <w:b/>
          <w:bCs/>
          <w:i/>
          <w:iCs/>
          <w:sz w:val="20"/>
          <w:lang w:eastAsia="zh-CN"/>
        </w:rPr>
        <w:t>: Confirm the RAN2 WA that UE</w:t>
      </w:r>
      <w:r>
        <w:rPr>
          <w:rFonts w:hint="eastAsia" w:eastAsia="宋体"/>
          <w:b/>
          <w:bCs/>
          <w:i/>
          <w:iCs/>
          <w:sz w:val="20"/>
          <w:lang w:eastAsia="zh-CN"/>
        </w:rPr>
        <w:t>-</w:t>
      </w:r>
      <w:r>
        <w:rPr>
          <w:rFonts w:eastAsia="宋体"/>
          <w:b/>
          <w:bCs/>
          <w:i/>
          <w:iCs/>
          <w:sz w:val="20"/>
          <w:lang w:eastAsia="zh-CN"/>
        </w:rPr>
        <w:t xml:space="preserve">specific search space </w:t>
      </w:r>
      <w:r>
        <w:rPr>
          <w:rFonts w:hint="eastAsia" w:eastAsia="宋体"/>
          <w:b/>
          <w:bCs/>
          <w:i/>
          <w:iCs/>
          <w:sz w:val="20"/>
          <w:lang w:eastAsia="zh-CN"/>
        </w:rPr>
        <w:t>is</w:t>
      </w:r>
      <w:r>
        <w:rPr>
          <w:rFonts w:eastAsia="宋体"/>
          <w:b/>
          <w:bCs/>
          <w:i/>
          <w:iCs/>
          <w:sz w:val="20"/>
          <w:lang w:eastAsia="zh-CN"/>
        </w:rPr>
        <w:t xml:space="preserve"> configured for UEs performing CG-SDT.</w:t>
      </w:r>
    </w:p>
    <w:p>
      <w:pPr>
        <w:pStyle w:val="3"/>
        <w:spacing w:before="180" w:after="180" w:line="260" w:lineRule="auto"/>
        <w:rPr>
          <w:lang w:val="en-US" w:eastAsia="zh-CN"/>
        </w:rPr>
      </w:pPr>
      <w:r>
        <w:rPr>
          <w:rFonts w:hint="eastAsia"/>
          <w:lang w:val="en-US" w:eastAsia="zh-CN"/>
        </w:rPr>
        <w:t xml:space="preserve"> Feedback for CG-SDT</w:t>
      </w:r>
    </w:p>
    <w:p>
      <w:pPr>
        <w:pStyle w:val="133"/>
        <w:spacing w:before="120" w:beforeLines="50" w:after="0"/>
        <w:ind w:firstLine="0" w:firstLineChars="0"/>
        <w:rPr>
          <w:rFonts w:eastAsia="宋体"/>
          <w:bCs/>
          <w:iCs/>
          <w:sz w:val="20"/>
          <w:lang w:eastAsia="zh-CN"/>
        </w:rPr>
      </w:pPr>
      <w:r>
        <w:rPr>
          <w:rFonts w:hint="eastAsia" w:eastAsia="宋体"/>
          <w:bCs/>
          <w:iCs/>
          <w:sz w:val="20"/>
          <w:lang w:eastAsia="zh-CN"/>
        </w:rPr>
        <w:t>In RAN1 #106, L1 feedback for CG-SDT was discussed, the following options were raised:</w:t>
      </w:r>
    </w:p>
    <w:p>
      <w:pPr>
        <w:shd w:val="clear" w:color="auto" w:fill="FFFFFF"/>
        <w:wordWrap w:val="0"/>
        <w:spacing w:after="0" w:line="300" w:lineRule="atLeast"/>
        <w:ind w:left="820" w:hanging="420"/>
        <w:jc w:val="both"/>
        <w:rPr>
          <w:rFonts w:eastAsia="等线"/>
          <w:color w:val="000000"/>
          <w:sz w:val="21"/>
          <w:szCs w:val="21"/>
        </w:rPr>
      </w:pPr>
      <w:r>
        <w:rPr>
          <w:rFonts w:eastAsia="等线"/>
          <w:color w:val="000000"/>
          <w:shd w:val="clear" w:color="auto" w:fill="FFFFFF"/>
          <w:lang w:val="en-US" w:eastAsia="zh-CN" w:bidi="ar"/>
        </w:rPr>
        <w:t>-</w:t>
      </w:r>
      <w:r>
        <w:rPr>
          <w:rFonts w:eastAsia="等线"/>
          <w:color w:val="000000"/>
          <w:sz w:val="14"/>
          <w:szCs w:val="14"/>
          <w:shd w:val="clear" w:color="auto" w:fill="FFFFFF"/>
          <w:lang w:val="en-US" w:eastAsia="zh-CN" w:bidi="ar"/>
        </w:rPr>
        <w:t>        </w:t>
      </w:r>
      <w:r>
        <w:rPr>
          <w:rFonts w:eastAsia="等线"/>
          <w:b/>
          <w:bCs/>
          <w:color w:val="000000"/>
          <w:shd w:val="clear" w:color="auto" w:fill="FFFFFF"/>
          <w:lang w:val="en-US" w:eastAsia="zh-CN" w:bidi="ar"/>
        </w:rPr>
        <w:t>Option 1</w:t>
      </w:r>
      <w:r>
        <w:rPr>
          <w:rFonts w:eastAsia="等线"/>
          <w:color w:val="000000"/>
          <w:shd w:val="clear" w:color="auto" w:fill="FFFFFF"/>
          <w:lang w:val="en-US" w:eastAsia="zh-CN" w:bidi="ar"/>
        </w:rPr>
        <w:t>: Support explicit L1 feedback for CG-SDT.</w:t>
      </w:r>
    </w:p>
    <w:p>
      <w:pPr>
        <w:shd w:val="clear" w:color="auto" w:fill="FFFFFF"/>
        <w:wordWrap w:val="0"/>
        <w:spacing w:after="0" w:line="300" w:lineRule="atLeast"/>
        <w:ind w:left="1240" w:hanging="420"/>
        <w:jc w:val="both"/>
        <w:rPr>
          <w:rFonts w:eastAsia="等线"/>
          <w:color w:val="000000"/>
          <w:sz w:val="21"/>
          <w:szCs w:val="21"/>
        </w:rPr>
      </w:pPr>
      <w:r>
        <w:rPr>
          <w:rFonts w:hint="eastAsia" w:ascii="Wingdings" w:hAnsi="Wingdings" w:eastAsia="等线" w:cs="Wingdings"/>
          <w:color w:val="000000"/>
          <w:sz w:val="10"/>
          <w:szCs w:val="10"/>
          <w:shd w:val="clear" w:color="auto" w:fill="FFFFFF"/>
          <w:lang w:val="en-US" w:eastAsia="zh-CN" w:bidi="ar"/>
        </w:rPr>
        <w:t>n</w:t>
      </w:r>
      <w:r>
        <w:rPr>
          <w:rFonts w:eastAsia="等线"/>
          <w:color w:val="000000"/>
          <w:sz w:val="10"/>
          <w:szCs w:val="10"/>
          <w:shd w:val="clear" w:color="auto" w:fill="FFFFFF"/>
          <w:lang w:val="en-US" w:eastAsia="zh-CN" w:bidi="ar"/>
        </w:rPr>
        <w:t> </w:t>
      </w:r>
      <w:r>
        <w:rPr>
          <w:rFonts w:eastAsia="等线"/>
          <w:color w:val="000000"/>
          <w:sz w:val="14"/>
          <w:szCs w:val="14"/>
          <w:shd w:val="clear" w:color="auto" w:fill="FFFFFF"/>
          <w:lang w:val="en-US" w:eastAsia="zh-CN" w:bidi="ar"/>
        </w:rPr>
        <w:t>  </w:t>
      </w:r>
      <w:r>
        <w:rPr>
          <w:rFonts w:eastAsia="等线"/>
          <w:b/>
          <w:bCs/>
          <w:color w:val="000000"/>
          <w:shd w:val="clear" w:color="auto" w:fill="FFFFFF"/>
          <w:lang w:val="en-US" w:eastAsia="zh-CN" w:bidi="ar"/>
        </w:rPr>
        <w:t>Option 1A</w:t>
      </w:r>
      <w:r>
        <w:rPr>
          <w:rFonts w:eastAsia="等线"/>
          <w:color w:val="000000"/>
          <w:shd w:val="clear" w:color="auto" w:fill="FFFFFF"/>
          <w:lang w:val="en-US" w:eastAsia="zh-CN" w:bidi="ar"/>
        </w:rPr>
        <w:t>: Reuse DFI based mechanism as introduced in Rel-16 NR-U</w:t>
      </w:r>
    </w:p>
    <w:p>
      <w:pPr>
        <w:shd w:val="clear" w:color="auto" w:fill="FFFFFF"/>
        <w:wordWrap w:val="0"/>
        <w:spacing w:after="0" w:line="300" w:lineRule="atLeast"/>
        <w:ind w:left="1240" w:hanging="420"/>
        <w:jc w:val="both"/>
        <w:rPr>
          <w:rFonts w:eastAsia="等线"/>
          <w:color w:val="000000"/>
          <w:sz w:val="21"/>
          <w:szCs w:val="21"/>
        </w:rPr>
      </w:pPr>
      <w:r>
        <w:rPr>
          <w:rFonts w:hint="eastAsia" w:ascii="Wingdings" w:hAnsi="Wingdings" w:eastAsia="等线" w:cs="Wingdings"/>
          <w:color w:val="000000"/>
          <w:sz w:val="10"/>
          <w:szCs w:val="10"/>
          <w:shd w:val="clear" w:color="auto" w:fill="FFFFFF"/>
          <w:lang w:val="en-US" w:eastAsia="zh-CN" w:bidi="ar"/>
        </w:rPr>
        <w:t>n</w:t>
      </w:r>
      <w:r>
        <w:rPr>
          <w:rFonts w:eastAsia="等线"/>
          <w:color w:val="000000"/>
          <w:sz w:val="14"/>
          <w:szCs w:val="14"/>
          <w:shd w:val="clear" w:color="auto" w:fill="FFFFFF"/>
          <w:lang w:val="en-US" w:eastAsia="zh-CN" w:bidi="ar"/>
        </w:rPr>
        <w:t>  </w:t>
      </w:r>
      <w:r>
        <w:rPr>
          <w:rFonts w:eastAsia="等线"/>
          <w:b/>
          <w:bCs/>
          <w:color w:val="000000"/>
          <w:sz w:val="14"/>
          <w:szCs w:val="14"/>
          <w:shd w:val="clear" w:color="auto" w:fill="FFFFFF"/>
          <w:lang w:val="en-US" w:eastAsia="zh-CN" w:bidi="ar"/>
        </w:rPr>
        <w:t> </w:t>
      </w:r>
      <w:r>
        <w:rPr>
          <w:rFonts w:eastAsia="等线"/>
          <w:b/>
          <w:bCs/>
          <w:color w:val="000000"/>
          <w:shd w:val="clear" w:color="auto" w:fill="FFFFFF"/>
          <w:lang w:val="en-US" w:eastAsia="zh-CN" w:bidi="ar"/>
        </w:rPr>
        <w:t>Option 1B:</w:t>
      </w:r>
      <w:r>
        <w:rPr>
          <w:rFonts w:eastAsia="等线"/>
          <w:color w:val="000000"/>
          <w:shd w:val="clear" w:color="auto" w:fill="FFFFFF"/>
          <w:lang w:val="en-US" w:eastAsia="zh-CN" w:bidi="ar"/>
        </w:rPr>
        <w:t xml:space="preserve"> Use UL grant scheduling DG-PUSCH with same HARQ process ID as CG-SDT PUSCH</w:t>
      </w:r>
    </w:p>
    <w:p>
      <w:pPr>
        <w:shd w:val="clear" w:color="auto" w:fill="FFFFFF"/>
        <w:wordWrap w:val="0"/>
        <w:spacing w:after="120" w:afterLines="50" w:line="300" w:lineRule="atLeast"/>
        <w:ind w:left="822" w:hanging="420"/>
        <w:jc w:val="both"/>
        <w:rPr>
          <w:rFonts w:eastAsia="等线"/>
          <w:color w:val="000000"/>
          <w:sz w:val="21"/>
          <w:szCs w:val="21"/>
        </w:rPr>
      </w:pPr>
      <w:r>
        <w:rPr>
          <w:rFonts w:eastAsia="等线"/>
          <w:color w:val="000000"/>
          <w:shd w:val="clear" w:color="auto" w:fill="FFFFFF"/>
          <w:lang w:val="en-US" w:eastAsia="zh-CN" w:bidi="ar"/>
        </w:rPr>
        <w:t>-</w:t>
      </w:r>
      <w:r>
        <w:rPr>
          <w:rFonts w:eastAsia="等线"/>
          <w:color w:val="000000"/>
          <w:sz w:val="14"/>
          <w:szCs w:val="14"/>
          <w:shd w:val="clear" w:color="auto" w:fill="FFFFFF"/>
          <w:lang w:val="en-US" w:eastAsia="zh-CN" w:bidi="ar"/>
        </w:rPr>
        <w:t>       </w:t>
      </w:r>
      <w:r>
        <w:rPr>
          <w:rFonts w:eastAsia="等线"/>
          <w:b/>
          <w:bCs/>
          <w:color w:val="000000"/>
          <w:shd w:val="clear" w:color="auto" w:fill="FFFFFF"/>
          <w:lang w:val="en-US" w:eastAsia="zh-CN" w:bidi="ar"/>
        </w:rPr>
        <w:t>Option 2</w:t>
      </w:r>
      <w:r>
        <w:rPr>
          <w:rFonts w:eastAsia="等线"/>
          <w:color w:val="000000"/>
          <w:shd w:val="clear" w:color="auto" w:fill="FFFFFF"/>
          <w:lang w:val="en-US" w:eastAsia="zh-CN" w:bidi="ar"/>
        </w:rPr>
        <w:t>: Explicit ACK is not supported for CG-SDT. Reuse Rel-15 CG re-transmission for CG-SDT</w:t>
      </w:r>
    </w:p>
    <w:p>
      <w:pPr>
        <w:pStyle w:val="133"/>
        <w:spacing w:before="120" w:beforeLines="50" w:afterLines="50"/>
        <w:ind w:firstLine="0" w:firstLineChars="0"/>
        <w:rPr>
          <w:rFonts w:eastAsia="宋体"/>
          <w:bCs/>
          <w:iCs/>
          <w:sz w:val="20"/>
          <w:lang w:eastAsia="zh-CN"/>
        </w:rPr>
      </w:pPr>
      <w:r>
        <w:rPr>
          <w:rFonts w:hint="eastAsia"/>
          <w:sz w:val="20"/>
          <w:szCs w:val="20"/>
          <w:lang w:eastAsia="zh-CN"/>
        </w:rPr>
        <w:t>For CG-SDT, in order to improve the reliability of UL CG transmission, the autonomous retransmission should be supported. Then in order to support autonomous retransmission, explicit L1 feedback should be used similar to NR-U. In addition, i</w:t>
      </w:r>
      <w:r>
        <w:rPr>
          <w:rFonts w:hint="eastAsia" w:eastAsia="宋体"/>
          <w:bCs/>
          <w:iCs/>
          <w:sz w:val="20"/>
          <w:szCs w:val="20"/>
          <w:lang w:eastAsia="zh-CN"/>
        </w:rPr>
        <w:t>f there is no special requirement, the existing DFI mechanism may be reused. Therefore, we prefer option 1A above.</w:t>
      </w:r>
    </w:p>
    <w:p>
      <w:pPr>
        <w:pStyle w:val="133"/>
        <w:numPr>
          <w:ilvl w:val="255"/>
          <w:numId w:val="0"/>
        </w:numPr>
        <w:spacing w:afterLines="5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7</w:t>
      </w:r>
      <w:r>
        <w:rPr>
          <w:rFonts w:eastAsia="宋体"/>
          <w:b/>
          <w:bCs/>
          <w:i/>
          <w:iCs/>
          <w:sz w:val="20"/>
          <w:lang w:eastAsia="zh-CN"/>
        </w:rPr>
        <w:t>: From RAN1’</w:t>
      </w:r>
      <w:r>
        <w:rPr>
          <w:rFonts w:hint="eastAsia" w:eastAsia="宋体"/>
          <w:b/>
          <w:bCs/>
          <w:i/>
          <w:iCs/>
          <w:sz w:val="20"/>
          <w:lang w:eastAsia="zh-CN"/>
        </w:rPr>
        <w:t>s</w:t>
      </w:r>
      <w:r>
        <w:rPr>
          <w:rFonts w:eastAsia="宋体"/>
          <w:b/>
          <w:bCs/>
          <w:i/>
          <w:iCs/>
          <w:sz w:val="20"/>
          <w:lang w:eastAsia="zh-CN"/>
        </w:rPr>
        <w:t xml:space="preserve"> perspective, the existing DFI mechanism can be reused</w:t>
      </w:r>
      <w:r>
        <w:rPr>
          <w:rFonts w:hint="eastAsia" w:eastAsia="宋体"/>
          <w:b/>
          <w:bCs/>
          <w:i/>
          <w:iCs/>
          <w:sz w:val="20"/>
          <w:lang w:eastAsia="zh-CN"/>
        </w:rPr>
        <w:t xml:space="preserve"> for the feedback of CG-SDT</w:t>
      </w:r>
      <w:r>
        <w:rPr>
          <w:rFonts w:eastAsia="宋体"/>
          <w:b/>
          <w:bCs/>
          <w:i/>
          <w:iCs/>
          <w:sz w:val="20"/>
          <w:lang w:eastAsia="zh-CN"/>
        </w:rPr>
        <w:t xml:space="preserve"> in subsequent transmission.</w:t>
      </w:r>
    </w:p>
    <w:p>
      <w:pPr>
        <w:pStyle w:val="3"/>
        <w:spacing w:before="180" w:after="180" w:line="260" w:lineRule="auto"/>
        <w:rPr>
          <w:lang w:val="en-US" w:eastAsia="zh-CN"/>
        </w:rPr>
      </w:pPr>
      <w:r>
        <w:rPr>
          <w:rFonts w:hint="eastAsia"/>
          <w:lang w:val="en-US" w:eastAsia="zh-CN"/>
        </w:rPr>
        <w:t xml:space="preserve"> BWP for CG-SDT and RA-SDT</w:t>
      </w:r>
    </w:p>
    <w:p>
      <w:pPr>
        <w:pStyle w:val="133"/>
        <w:spacing w:before="120" w:beforeLines="50" w:afterLines="50"/>
        <w:ind w:firstLine="0" w:firstLineChars="0"/>
        <w:rPr>
          <w:rFonts w:eastAsia="宋体"/>
          <w:b/>
          <w:bCs/>
          <w:sz w:val="20"/>
          <w:u w:val="single"/>
          <w:lang w:eastAsia="zh-CN"/>
        </w:rPr>
      </w:pPr>
      <w:r>
        <w:rPr>
          <w:rFonts w:hint="eastAsia" w:eastAsia="宋体"/>
          <w:b/>
          <w:bCs/>
          <w:sz w:val="20"/>
          <w:u w:val="single"/>
          <w:lang w:eastAsia="zh-CN"/>
        </w:rPr>
        <w:t>BWP for CG-SDT</w:t>
      </w:r>
    </w:p>
    <w:p>
      <w:pPr>
        <w:pStyle w:val="133"/>
        <w:spacing w:afterLines="50"/>
        <w:ind w:firstLine="0" w:firstLineChars="0"/>
        <w:rPr>
          <w:rFonts w:eastAsia="宋体"/>
          <w:sz w:val="20"/>
          <w:lang w:eastAsia="zh-CN"/>
        </w:rPr>
      </w:pPr>
      <w:r>
        <w:rPr>
          <w:rFonts w:hint="eastAsia" w:eastAsia="宋体"/>
          <w:sz w:val="20"/>
          <w:lang w:eastAsia="zh-CN"/>
        </w:rPr>
        <w:t>In RAN1 #106, the following agreement on the BWP to configure CG-SDT resource was made as below:</w:t>
      </w:r>
    </w:p>
    <w:tbl>
      <w:tblPr>
        <w:tblStyle w:val="26"/>
        <w:tblW w:w="949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1" w:type="dxa"/>
          </w:tcPr>
          <w:p>
            <w:pPr>
              <w:widowControl w:val="0"/>
              <w:wordWrap w:val="0"/>
              <w:rPr>
                <w:b/>
                <w:bCs/>
                <w:highlight w:val="green"/>
                <w:lang w:eastAsia="zh-CN"/>
              </w:rPr>
            </w:pPr>
            <w:r>
              <w:rPr>
                <w:b/>
                <w:bCs/>
                <w:highlight w:val="green"/>
                <w:lang w:eastAsia="zh-CN"/>
              </w:rPr>
              <w:t>Agreement:</w:t>
            </w:r>
          </w:p>
          <w:p>
            <w:pPr>
              <w:pStyle w:val="135"/>
              <w:widowControl w:val="0"/>
              <w:numPr>
                <w:ilvl w:val="0"/>
                <w:numId w:val="17"/>
              </w:numPr>
              <w:rPr>
                <w:i/>
                <w:iCs/>
                <w:color w:val="000000" w:themeColor="text1"/>
                <w14:textFill>
                  <w14:solidFill>
                    <w14:schemeClr w14:val="tx1"/>
                  </w14:solidFill>
                </w14:textFill>
              </w:rPr>
            </w:pPr>
            <w:r>
              <w:rPr>
                <w:i/>
                <w:iCs/>
                <w:color w:val="000000" w:themeColor="text1"/>
                <w14:textFill>
                  <w14:solidFill>
                    <w14:schemeClr w14:val="tx1"/>
                  </w14:solidFill>
                </w14:textFill>
              </w:rPr>
              <w:t>RAN1 confirms the RAN2 agreement that CG-SDT resource can be configured on initial BWP</w:t>
            </w:r>
          </w:p>
          <w:p>
            <w:pPr>
              <w:pStyle w:val="135"/>
              <w:widowControl w:val="0"/>
              <w:numPr>
                <w:ilvl w:val="1"/>
                <w:numId w:val="18"/>
              </w:numPr>
              <w:spacing w:after="150"/>
              <w:ind w:right="150"/>
              <w:rPr>
                <w:rFonts w:eastAsia="宋体"/>
                <w:lang w:eastAsia="zh-CN"/>
              </w:rPr>
            </w:pPr>
            <w:r>
              <w:rPr>
                <w:i/>
                <w:iCs/>
                <w:color w:val="000000" w:themeColor="text1"/>
                <w:lang w:eastAsia="en-US"/>
                <w14:textFill>
                  <w14:solidFill>
                    <w14:schemeClr w14:val="tx1"/>
                  </w14:solidFill>
                </w14:textFill>
              </w:rPr>
              <w:t>FFS whether CG-SDT resource can be configured on a separate BWP.</w:t>
            </w:r>
          </w:p>
        </w:tc>
      </w:tr>
    </w:tbl>
    <w:p>
      <w:pPr>
        <w:pStyle w:val="133"/>
        <w:spacing w:before="120" w:beforeLines="50" w:after="60"/>
        <w:ind w:firstLine="0" w:firstLineChars="0"/>
        <w:rPr>
          <w:rFonts w:eastAsia="宋体"/>
          <w:sz w:val="20"/>
          <w:lang w:eastAsia="zh-CN"/>
        </w:rPr>
      </w:pPr>
      <w:r>
        <w:rPr>
          <w:rFonts w:hint="eastAsia" w:eastAsia="宋体"/>
          <w:sz w:val="20"/>
          <w:lang w:eastAsia="zh-CN"/>
        </w:rPr>
        <w:t xml:space="preserve">According to the agreement, CG-SDT can be configured on initial BWP, but whether CG-SDT can be configured on </w:t>
      </w:r>
      <w:r>
        <w:rPr>
          <w:rFonts w:eastAsia="宋体"/>
          <w:sz w:val="20"/>
          <w:lang w:eastAsia="zh-CN"/>
        </w:rPr>
        <w:t xml:space="preserve">a </w:t>
      </w:r>
      <w:r>
        <w:rPr>
          <w:rFonts w:hint="eastAsia" w:eastAsia="宋体"/>
          <w:sz w:val="20"/>
          <w:lang w:eastAsia="zh-CN"/>
        </w:rPr>
        <w:t xml:space="preserve">separate BWP is still an FFS. Considering the resource of initial BWP is limited, </w:t>
      </w:r>
      <w:r>
        <w:rPr>
          <w:rFonts w:eastAsia="宋体"/>
          <w:sz w:val="20"/>
          <w:lang w:eastAsia="zh-CN"/>
        </w:rPr>
        <w:t xml:space="preserve">a </w:t>
      </w:r>
      <w:r>
        <w:rPr>
          <w:rFonts w:hint="eastAsia" w:eastAsia="宋体"/>
          <w:sz w:val="20"/>
          <w:lang w:eastAsia="zh-CN"/>
        </w:rPr>
        <w:t xml:space="preserve">separate BWP should be configured for CG-SDT. For FDD mode, if CG-SDT resource is configured in </w:t>
      </w:r>
      <w:r>
        <w:rPr>
          <w:rFonts w:eastAsia="宋体"/>
          <w:sz w:val="20"/>
          <w:lang w:eastAsia="zh-CN"/>
        </w:rPr>
        <w:t xml:space="preserve">a </w:t>
      </w:r>
      <w:r>
        <w:rPr>
          <w:rFonts w:hint="eastAsia" w:eastAsia="宋体"/>
          <w:sz w:val="20"/>
          <w:lang w:eastAsia="zh-CN"/>
        </w:rPr>
        <w:t xml:space="preserve">separate SDT BWP, DL transmission is still in initial DL BWP. While for TDD mode, when the UE switches to the separate SDT BWP, since DL BWP is paired with UL BWP, DL BWP is also switched to the corresponding DL BWP which the linked UL BWP is </w:t>
      </w:r>
      <w:r>
        <w:rPr>
          <w:rFonts w:eastAsia="宋体"/>
          <w:sz w:val="20"/>
          <w:lang w:eastAsia="zh-CN"/>
        </w:rPr>
        <w:t xml:space="preserve">the </w:t>
      </w:r>
      <w:r>
        <w:rPr>
          <w:rFonts w:hint="eastAsia" w:eastAsia="宋体"/>
          <w:sz w:val="20"/>
          <w:lang w:eastAsia="zh-CN"/>
        </w:rPr>
        <w:t xml:space="preserve">separate SDT BWP. For this case, the reception of SI, paging needs to be considered. </w:t>
      </w:r>
    </w:p>
    <w:p>
      <w:pPr>
        <w:pStyle w:val="133"/>
        <w:spacing w:before="120" w:beforeLines="50" w:after="60"/>
        <w:ind w:firstLine="0" w:firstLineChars="0"/>
        <w:rPr>
          <w:rFonts w:eastAsia="宋体"/>
          <w:sz w:val="20"/>
          <w:lang w:eastAsia="zh-CN"/>
        </w:rPr>
      </w:pPr>
      <w:r>
        <w:rPr>
          <w:rFonts w:hint="eastAsia" w:eastAsia="宋体"/>
          <w:sz w:val="20"/>
          <w:lang w:eastAsia="zh-CN"/>
        </w:rPr>
        <w:t>In the following, three possible schemes are listed for the reception of SI, paging:</w:t>
      </w:r>
    </w:p>
    <w:p>
      <w:pPr>
        <w:pStyle w:val="133"/>
        <w:numPr>
          <w:ilvl w:val="8"/>
          <w:numId w:val="0"/>
        </w:numPr>
        <w:spacing w:after="0"/>
        <w:ind w:left="200" w:leftChars="100"/>
        <w:rPr>
          <w:rFonts w:eastAsia="宋体"/>
          <w:sz w:val="20"/>
          <w:lang w:eastAsia="zh-CN"/>
        </w:rPr>
      </w:pPr>
      <w:r>
        <w:rPr>
          <w:rFonts w:hint="eastAsia" w:eastAsia="宋体"/>
          <w:b/>
          <w:bCs/>
          <w:sz w:val="20"/>
          <w:lang w:eastAsia="zh-CN"/>
        </w:rPr>
        <w:t xml:space="preserve">Option 1: </w:t>
      </w:r>
      <w:r>
        <w:rPr>
          <w:rFonts w:hint="eastAsia" w:eastAsia="宋体"/>
          <w:sz w:val="20"/>
          <w:lang w:eastAsia="zh-CN"/>
        </w:rPr>
        <w:t>Initial DL BWP is used.</w:t>
      </w:r>
    </w:p>
    <w:p>
      <w:pPr>
        <w:pStyle w:val="133"/>
        <w:numPr>
          <w:ilvl w:val="8"/>
          <w:numId w:val="0"/>
        </w:numPr>
        <w:spacing w:after="0"/>
        <w:ind w:left="200" w:leftChars="100"/>
        <w:rPr>
          <w:rFonts w:eastAsia="宋体"/>
          <w:sz w:val="20"/>
          <w:lang w:eastAsia="zh-CN"/>
        </w:rPr>
      </w:pPr>
      <w:r>
        <w:rPr>
          <w:rFonts w:hint="eastAsia" w:eastAsia="宋体"/>
          <w:b/>
          <w:bCs/>
          <w:sz w:val="20"/>
          <w:lang w:eastAsia="zh-CN"/>
        </w:rPr>
        <w:t>Option 2:</w:t>
      </w:r>
      <w:r>
        <w:rPr>
          <w:rFonts w:hint="eastAsia" w:eastAsia="宋体"/>
          <w:sz w:val="20"/>
          <w:lang w:eastAsia="zh-CN"/>
        </w:rPr>
        <w:t xml:space="preserve"> Define a restriction that the non-initial BWP is linked to the DL BWP containing the SSB associated to the initial BWP.</w:t>
      </w:r>
    </w:p>
    <w:p>
      <w:pPr>
        <w:pStyle w:val="133"/>
        <w:numPr>
          <w:ilvl w:val="8"/>
          <w:numId w:val="0"/>
        </w:numPr>
        <w:spacing w:after="0"/>
        <w:ind w:left="200" w:leftChars="100"/>
        <w:rPr>
          <w:rFonts w:eastAsia="宋体"/>
          <w:sz w:val="20"/>
          <w:lang w:eastAsia="zh-CN"/>
        </w:rPr>
      </w:pPr>
      <w:r>
        <w:rPr>
          <w:rFonts w:hint="eastAsia" w:eastAsia="宋体"/>
          <w:b/>
          <w:bCs/>
          <w:sz w:val="20"/>
          <w:lang w:eastAsia="zh-CN"/>
        </w:rPr>
        <w:t>Option 3:</w:t>
      </w:r>
      <w:r>
        <w:rPr>
          <w:rFonts w:hint="eastAsia" w:eastAsia="宋体"/>
          <w:sz w:val="20"/>
          <w:lang w:eastAsia="zh-CN"/>
        </w:rPr>
        <w:t xml:space="preserve"> CSS for SI and paging is configured on non-initial DL BWP.</w:t>
      </w:r>
    </w:p>
    <w:p>
      <w:pPr>
        <w:pStyle w:val="133"/>
        <w:spacing w:before="120" w:beforeLines="50" w:afterLines="50"/>
        <w:ind w:firstLine="0" w:firstLineChars="0"/>
        <w:rPr>
          <w:rFonts w:eastAsia="宋体"/>
          <w:sz w:val="20"/>
          <w:lang w:eastAsia="zh-CN"/>
        </w:rPr>
      </w:pPr>
      <w:r>
        <w:rPr>
          <w:rFonts w:hint="eastAsia" w:eastAsia="宋体"/>
          <w:sz w:val="20"/>
          <w:lang w:eastAsia="zh-CN"/>
        </w:rPr>
        <w:t xml:space="preserve">For option 1, it means that RF retuning will be needed, which will increase UE power consumption and complexity. For option 3, the configuration of CSS will increase signaling overhead. Compared to option 1 and option 3, option 2 is a simple way. Hence, we prefer option 2. </w:t>
      </w:r>
    </w:p>
    <w:p>
      <w:pPr>
        <w:spacing w:after="60" w:line="260" w:lineRule="auto"/>
        <w:jc w:val="both"/>
        <w:rPr>
          <w:rFonts w:eastAsia="宋体"/>
          <w:color w:val="000000"/>
          <w:lang w:val="en-US" w:eastAsia="zh-CN"/>
        </w:rPr>
      </w:pPr>
      <w:r>
        <w:rPr>
          <w:rFonts w:hint="eastAsia" w:eastAsia="宋体"/>
          <w:color w:val="000000"/>
          <w:lang w:val="en-US" w:eastAsia="zh-CN"/>
        </w:rPr>
        <w:t>For the reception of SSB, the following three schemes are listed:</w:t>
      </w:r>
    </w:p>
    <w:p>
      <w:pPr>
        <w:pStyle w:val="133"/>
        <w:numPr>
          <w:ilvl w:val="8"/>
          <w:numId w:val="0"/>
        </w:numPr>
        <w:spacing w:after="0"/>
        <w:ind w:left="200" w:leftChars="100"/>
        <w:rPr>
          <w:rFonts w:eastAsia="宋体"/>
          <w:sz w:val="20"/>
          <w:lang w:eastAsia="zh-CN"/>
        </w:rPr>
      </w:pPr>
      <w:r>
        <w:rPr>
          <w:rFonts w:hint="eastAsia" w:eastAsia="宋体"/>
          <w:b/>
          <w:bCs/>
          <w:sz w:val="20"/>
          <w:lang w:eastAsia="zh-CN"/>
        </w:rPr>
        <w:t xml:space="preserve">Option 1: </w:t>
      </w:r>
      <w:r>
        <w:rPr>
          <w:rFonts w:hint="eastAsia" w:eastAsia="宋体"/>
          <w:sz w:val="20"/>
          <w:lang w:eastAsia="zh-CN"/>
        </w:rPr>
        <w:t>Initial DL BWP is used.</w:t>
      </w:r>
    </w:p>
    <w:p>
      <w:pPr>
        <w:pStyle w:val="133"/>
        <w:numPr>
          <w:ilvl w:val="8"/>
          <w:numId w:val="0"/>
        </w:numPr>
        <w:spacing w:after="0"/>
        <w:ind w:left="200" w:leftChars="100"/>
        <w:rPr>
          <w:rFonts w:eastAsia="宋体"/>
          <w:sz w:val="20"/>
          <w:lang w:eastAsia="zh-CN"/>
        </w:rPr>
      </w:pPr>
      <w:r>
        <w:rPr>
          <w:rFonts w:hint="eastAsia" w:eastAsia="宋体"/>
          <w:b/>
          <w:bCs/>
          <w:sz w:val="20"/>
          <w:lang w:eastAsia="zh-CN"/>
        </w:rPr>
        <w:t>Option 2:</w:t>
      </w:r>
      <w:r>
        <w:rPr>
          <w:rFonts w:hint="eastAsia" w:eastAsia="宋体"/>
          <w:sz w:val="20"/>
          <w:lang w:eastAsia="zh-CN"/>
        </w:rPr>
        <w:t xml:space="preserve"> Define a restriction that the non-initial BWP is linked to the DL BWP containing the SSB associated to the initial BWP.</w:t>
      </w:r>
    </w:p>
    <w:p>
      <w:pPr>
        <w:pStyle w:val="133"/>
        <w:numPr>
          <w:ilvl w:val="8"/>
          <w:numId w:val="0"/>
        </w:numPr>
        <w:spacing w:afterLines="50"/>
        <w:ind w:left="200" w:leftChars="100"/>
        <w:rPr>
          <w:rFonts w:eastAsia="宋体"/>
          <w:sz w:val="20"/>
          <w:lang w:eastAsia="zh-CN"/>
        </w:rPr>
      </w:pPr>
      <w:r>
        <w:rPr>
          <w:rFonts w:hint="eastAsia" w:eastAsia="宋体"/>
          <w:b/>
          <w:bCs/>
          <w:sz w:val="20"/>
          <w:lang w:eastAsia="zh-CN"/>
        </w:rPr>
        <w:t>Option 3:</w:t>
      </w:r>
      <w:r>
        <w:rPr>
          <w:rFonts w:hint="eastAsia" w:eastAsia="宋体"/>
          <w:sz w:val="20"/>
          <w:lang w:eastAsia="zh-CN"/>
        </w:rPr>
        <w:t xml:space="preserve"> non cell-defining SSB is configured on non-initial BWP.</w:t>
      </w:r>
    </w:p>
    <w:p>
      <w:pPr>
        <w:spacing w:after="120" w:afterLines="50" w:line="260" w:lineRule="auto"/>
        <w:jc w:val="both"/>
        <w:rPr>
          <w:rFonts w:eastAsia="宋体"/>
          <w:color w:val="000000"/>
          <w:lang w:val="en-US" w:eastAsia="zh-CN"/>
        </w:rPr>
      </w:pPr>
      <w:r>
        <w:rPr>
          <w:rFonts w:hint="eastAsia" w:eastAsia="宋体"/>
          <w:color w:val="000000"/>
          <w:lang w:val="en-US" w:eastAsia="zh-CN"/>
        </w:rPr>
        <w:t xml:space="preserve">For option 3, it can increase signaling overhead. Hence, similar to the reception of paging and SI, option 2 is better. </w:t>
      </w:r>
    </w:p>
    <w:p>
      <w:pPr>
        <w:spacing w:after="120" w:afterLines="50" w:line="260" w:lineRule="auto"/>
        <w:jc w:val="both"/>
        <w:rPr>
          <w:rFonts w:eastAsia="宋体"/>
          <w:color w:val="000000"/>
          <w:lang w:val="en-US" w:eastAsia="zh-CN"/>
        </w:rPr>
      </w:pPr>
      <w:r>
        <w:rPr>
          <w:rFonts w:hint="eastAsia" w:eastAsia="宋体"/>
          <w:color w:val="000000"/>
          <w:lang w:val="en-US" w:eastAsia="zh-CN"/>
        </w:rPr>
        <w:t>In general, for the reception of SI, paging and SSB, option 2 is also a simple way to decrease UE power consumption and complexity. By the way, it is up to NW implementation whether to configure CG-SDT resource on initial BWP or separate BWP for a given UE.</w:t>
      </w:r>
    </w:p>
    <w:p>
      <w:pPr>
        <w:pStyle w:val="133"/>
        <w:numPr>
          <w:ilvl w:val="255"/>
          <w:numId w:val="0"/>
        </w:numPr>
        <w:spacing w:after="18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8</w:t>
      </w:r>
      <w:r>
        <w:rPr>
          <w:rFonts w:eastAsia="宋体"/>
          <w:b/>
          <w:bCs/>
          <w:i/>
          <w:iCs/>
          <w:sz w:val="20"/>
          <w:lang w:eastAsia="zh-CN"/>
        </w:rPr>
        <w:t xml:space="preserve">: </w:t>
      </w:r>
      <w:r>
        <w:rPr>
          <w:rFonts w:hint="eastAsia" w:eastAsia="宋体"/>
          <w:b/>
          <w:bCs/>
          <w:i/>
          <w:iCs/>
          <w:sz w:val="20"/>
          <w:lang w:eastAsia="zh-CN"/>
        </w:rPr>
        <w:t>From RAN1</w:t>
      </w:r>
      <w:r>
        <w:rPr>
          <w:rFonts w:eastAsia="宋体"/>
          <w:b/>
          <w:bCs/>
          <w:i/>
          <w:iCs/>
          <w:sz w:val="20"/>
          <w:lang w:eastAsia="zh-CN"/>
        </w:rPr>
        <w:t>’</w:t>
      </w:r>
      <w:r>
        <w:rPr>
          <w:rFonts w:hint="eastAsia" w:eastAsia="宋体"/>
          <w:b/>
          <w:bCs/>
          <w:i/>
          <w:iCs/>
          <w:sz w:val="20"/>
          <w:lang w:eastAsia="zh-CN"/>
        </w:rPr>
        <w:t xml:space="preserve">s perspective, CG-SDT resource can be configured on </w:t>
      </w:r>
      <w:r>
        <w:rPr>
          <w:rFonts w:eastAsia="宋体"/>
          <w:b/>
          <w:bCs/>
          <w:i/>
          <w:iCs/>
          <w:sz w:val="20"/>
          <w:lang w:eastAsia="zh-CN"/>
        </w:rPr>
        <w:t xml:space="preserve">a </w:t>
      </w:r>
      <w:r>
        <w:rPr>
          <w:rFonts w:hint="eastAsia" w:eastAsia="宋体"/>
          <w:b/>
          <w:bCs/>
          <w:i/>
          <w:iCs/>
          <w:sz w:val="20"/>
          <w:lang w:eastAsia="zh-CN"/>
        </w:rPr>
        <w:t xml:space="preserve">separate SDT BWP. </w:t>
      </w:r>
      <w:r>
        <w:rPr>
          <w:rFonts w:eastAsia="宋体"/>
          <w:b/>
          <w:bCs/>
          <w:i/>
          <w:iCs/>
          <w:sz w:val="20"/>
          <w:lang w:eastAsia="zh-CN"/>
        </w:rPr>
        <w:t xml:space="preserve">For TDD mode, </w:t>
      </w:r>
      <w:r>
        <w:rPr>
          <w:rFonts w:hint="eastAsia" w:eastAsia="宋体"/>
          <w:b/>
          <w:bCs/>
          <w:i/>
          <w:iCs/>
          <w:sz w:val="20"/>
          <w:lang w:eastAsia="zh-CN"/>
        </w:rPr>
        <w:t>define a restriction that the separate BWP is linked to the DL BWP containing the SSB associated to the initial DL BWP.</w:t>
      </w:r>
    </w:p>
    <w:p>
      <w:pPr>
        <w:pStyle w:val="133"/>
        <w:spacing w:before="120" w:beforeLines="50" w:afterLines="50"/>
        <w:ind w:firstLine="0" w:firstLineChars="0"/>
        <w:rPr>
          <w:rFonts w:eastAsia="宋体"/>
          <w:b/>
          <w:bCs/>
          <w:sz w:val="20"/>
          <w:u w:val="single"/>
          <w:lang w:eastAsia="zh-CN"/>
        </w:rPr>
      </w:pPr>
      <w:r>
        <w:rPr>
          <w:rFonts w:hint="eastAsia" w:eastAsia="宋体"/>
          <w:b/>
          <w:bCs/>
          <w:sz w:val="20"/>
          <w:u w:val="single"/>
          <w:lang w:eastAsia="zh-CN"/>
        </w:rPr>
        <w:t>BWP for RA-SDT</w:t>
      </w:r>
    </w:p>
    <w:p>
      <w:pPr>
        <w:pStyle w:val="133"/>
        <w:numPr>
          <w:ilvl w:val="255"/>
          <w:numId w:val="0"/>
        </w:numPr>
        <w:spacing w:afterLines="50"/>
        <w:rPr>
          <w:rFonts w:eastAsia="宋体"/>
          <w:sz w:val="20"/>
          <w:lang w:eastAsia="zh-CN"/>
        </w:rPr>
      </w:pPr>
      <w:r>
        <w:rPr>
          <w:rFonts w:hint="eastAsia" w:eastAsia="宋体"/>
          <w:sz w:val="20"/>
          <w:lang w:eastAsia="zh-CN"/>
        </w:rPr>
        <w:t>In RAN2 #115, some companies thought non-initial BWP for RA-SDT should be supported in order to reduce congestion similar to separate BWP for CG-SDT. Therefore, the issue regarding whether to support RA-SDT on non-initial BWP has also been reflected in LS as below.</w:t>
      </w:r>
    </w:p>
    <w:tbl>
      <w:tblPr>
        <w:tblStyle w:val="26"/>
        <w:tblW w:w="9508"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8" w:type="dxa"/>
          </w:tcPr>
          <w:p>
            <w:pPr>
              <w:spacing w:after="0"/>
              <w:rPr>
                <w:b/>
                <w:bCs/>
                <w:i/>
                <w:iCs/>
                <w:color w:val="000000"/>
                <w:u w:val="single"/>
              </w:rPr>
            </w:pPr>
            <w:r>
              <w:rPr>
                <w:b/>
                <w:bCs/>
                <w:i/>
                <w:iCs/>
                <w:color w:val="000000"/>
                <w:u w:val="single"/>
              </w:rPr>
              <w:t xml:space="preserve">Agreements for RA-SDT: </w:t>
            </w:r>
          </w:p>
          <w:p>
            <w:pPr>
              <w:pStyle w:val="38"/>
              <w:ind w:left="0" w:firstLine="0"/>
              <w:rPr>
                <w:rFonts w:ascii="Times New Roman" w:hAnsi="Times New Roman"/>
                <w:i/>
                <w:iCs/>
              </w:rPr>
            </w:pPr>
            <w:r>
              <w:rPr>
                <w:rFonts w:ascii="Times New Roman" w:hAnsi="Times New Roman"/>
                <w:i/>
                <w:iCs/>
              </w:rPr>
              <w:t>RA-SDT can be configured on initial BWP.  FFS for non-initial BWP</w:t>
            </w:r>
          </w:p>
          <w:p>
            <w:pPr>
              <w:pStyle w:val="38"/>
              <w:ind w:left="0" w:firstLine="0"/>
              <w:rPr>
                <w:rFonts w:ascii="Times New Roman" w:hAnsi="Times New Roman"/>
                <w:i/>
                <w:iCs/>
              </w:rPr>
            </w:pPr>
          </w:p>
          <w:p>
            <w:pPr>
              <w:spacing w:after="0"/>
              <w:rPr>
                <w:color w:val="000000"/>
              </w:rPr>
            </w:pPr>
            <w:r>
              <w:rPr>
                <w:color w:val="000000"/>
              </w:rPr>
              <w:t xml:space="preserve">In addition to the above, RAN2 discussed support of RA-SDT configuration on non-initial BWP. </w:t>
            </w:r>
            <w:r>
              <w:rPr>
                <w:color w:val="000000"/>
                <w:highlight w:val="yellow"/>
              </w:rPr>
              <w:t xml:space="preserve">Some companies supported RA-SDT for non-initial BWP as this will reduce the congestion on initial BWP, </w:t>
            </w:r>
            <w:r>
              <w:rPr>
                <w:color w:val="000000"/>
              </w:rPr>
              <w:t xml:space="preserve">whilst others expressed concerns on the complexity and paging monitoring. For this issue, RAN2 would like to ask RAN1 the following question: </w:t>
            </w:r>
          </w:p>
          <w:p>
            <w:pPr>
              <w:spacing w:after="0"/>
              <w:rPr>
                <w:color w:val="000000"/>
              </w:rPr>
            </w:pPr>
          </w:p>
          <w:p>
            <w:pPr>
              <w:spacing w:after="0"/>
              <w:rPr>
                <w:color w:val="000000"/>
              </w:rPr>
            </w:pPr>
            <w:r>
              <w:rPr>
                <w:color w:val="000000"/>
              </w:rPr>
              <w:t xml:space="preserve">Q4: Do RAN1 have any concerns to support RA-SDT on the non-initial BWP? </w:t>
            </w:r>
          </w:p>
          <w:p>
            <w:pPr>
              <w:spacing w:after="0"/>
              <w:rPr>
                <w:i/>
                <w:iCs/>
                <w:lang w:eastAsia="zh-CN"/>
              </w:rPr>
            </w:pPr>
            <w:r>
              <w:rPr>
                <w:color w:val="000000"/>
              </w:rPr>
              <w:t xml:space="preserve">NOTE: It has already been agreed in RAN2 that </w:t>
            </w:r>
            <w:r>
              <w:rPr>
                <w:i/>
                <w:iCs/>
              </w:rPr>
              <w:t>CG-SDT resource can be configured on either initial BWP or separate SDT BWP</w:t>
            </w:r>
            <w:r>
              <w:t>, if confirmed by RAN1.</w:t>
            </w:r>
          </w:p>
        </w:tc>
      </w:tr>
    </w:tbl>
    <w:p>
      <w:pPr>
        <w:pStyle w:val="133"/>
        <w:numPr>
          <w:ilvl w:val="255"/>
          <w:numId w:val="0"/>
        </w:numPr>
        <w:spacing w:after="0"/>
        <w:rPr>
          <w:rFonts w:eastAsia="宋体"/>
          <w:sz w:val="20"/>
          <w:lang w:eastAsia="zh-CN"/>
        </w:rPr>
      </w:pPr>
    </w:p>
    <w:p>
      <w:pPr>
        <w:spacing w:after="120" w:afterLines="50" w:line="260" w:lineRule="auto"/>
        <w:jc w:val="both"/>
        <w:rPr>
          <w:rFonts w:eastAsia="宋体"/>
          <w:lang w:eastAsia="zh-CN"/>
        </w:rPr>
      </w:pPr>
      <w:r>
        <w:rPr>
          <w:rFonts w:hint="eastAsia" w:eastAsia="宋体"/>
          <w:color w:val="000000"/>
          <w:lang w:val="en-US" w:eastAsia="zh-CN"/>
        </w:rPr>
        <w:t>From the perspective of avoiding congestion and large amount of new overhead which would be exposed to initial BWP, we think it is beneficial to support RA-SDT on non-initial BWP. If it is supported, RACH resource for SDT should be configured on non-initial BWP. In addition, since there is no dedicated RRC signaling before RACH procedure, the RA-SDT related configuration is only provided via system information.</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9: From RAN1</w:t>
      </w:r>
      <w:r>
        <w:rPr>
          <w:rFonts w:eastAsia="宋体"/>
          <w:b/>
          <w:bCs/>
          <w:i/>
          <w:iCs/>
          <w:sz w:val="20"/>
          <w:lang w:eastAsia="zh-CN"/>
        </w:rPr>
        <w:t>’</w:t>
      </w:r>
      <w:r>
        <w:rPr>
          <w:rFonts w:hint="eastAsia" w:eastAsia="宋体"/>
          <w:b/>
          <w:bCs/>
          <w:i/>
          <w:iCs/>
          <w:sz w:val="20"/>
          <w:lang w:eastAsia="zh-CN"/>
        </w:rPr>
        <w:t>s perspective, RA-SDT can be configured on non-initial BWP, and the RA-SDT related configuration on non-initial BWP is provided via system information.</w:t>
      </w:r>
    </w:p>
    <w:p>
      <w:pPr>
        <w:spacing w:after="120" w:afterLines="50" w:line="260" w:lineRule="auto"/>
        <w:jc w:val="both"/>
        <w:rPr>
          <w:rFonts w:eastAsia="宋体"/>
          <w:color w:val="000000"/>
          <w:lang w:val="en-US" w:eastAsia="zh-CN"/>
        </w:rPr>
      </w:pPr>
      <w:r>
        <w:rPr>
          <w:rFonts w:hint="eastAsia" w:eastAsia="宋体"/>
          <w:color w:val="000000"/>
          <w:lang w:val="en-US" w:eastAsia="zh-CN"/>
        </w:rPr>
        <w:t xml:space="preserve">For RA-SDT, the reception of paging, SI and SSB is similar to CG-SDT. In order to reduce UE power consumption and complexity, the similar restriction should be added. </w:t>
      </w:r>
    </w:p>
    <w:p>
      <w:pPr>
        <w:pStyle w:val="133"/>
        <w:numPr>
          <w:ilvl w:val="255"/>
          <w:numId w:val="0"/>
        </w:numPr>
        <w:spacing w:afterLines="50"/>
        <w:rPr>
          <w:rFonts w:eastAsia="宋体"/>
          <w:sz w:val="20"/>
          <w:lang w:eastAsia="zh-CN"/>
        </w:rPr>
      </w:pPr>
      <w:r>
        <w:rPr>
          <w:rFonts w:hint="eastAsia" w:eastAsia="宋体"/>
          <w:b/>
          <w:bCs/>
          <w:i/>
          <w:iCs/>
          <w:sz w:val="20"/>
          <w:lang w:eastAsia="zh-CN"/>
        </w:rPr>
        <w:t>Proposal 10: When RA-SDT is configured on non-initial BWP, for TDD mode,  similar to separate BWP for CG-SDT, define a restriction, i.e. the non-initial BWP is linked to the DL BWP containing the SSB associated to the initial DL BWP.</w:t>
      </w:r>
    </w:p>
    <w:p>
      <w:pPr>
        <w:pStyle w:val="3"/>
        <w:spacing w:before="180" w:after="180" w:line="260" w:lineRule="auto"/>
        <w:rPr>
          <w:lang w:val="en-US" w:eastAsia="zh-CN"/>
        </w:rPr>
      </w:pPr>
      <w:r>
        <w:rPr>
          <w:rFonts w:hint="eastAsia"/>
          <w:lang w:val="en-US" w:eastAsia="zh-CN"/>
        </w:rPr>
        <w:t xml:space="preserve"> PUCCH resource configuration</w:t>
      </w:r>
    </w:p>
    <w:p>
      <w:pPr>
        <w:pStyle w:val="133"/>
        <w:ind w:firstLine="0" w:firstLineChars="0"/>
        <w:rPr>
          <w:rFonts w:eastAsia="宋体"/>
          <w:sz w:val="20"/>
          <w:lang w:eastAsia="zh-CN"/>
        </w:rPr>
      </w:pPr>
      <w:r>
        <w:rPr>
          <w:rFonts w:hint="eastAsia" w:eastAsia="宋体"/>
          <w:sz w:val="20"/>
          <w:lang w:eastAsia="zh-CN"/>
        </w:rPr>
        <w:t>In the LS from RAN2, the issues related to PUCCH resource configuration are raised as below:</w:t>
      </w:r>
    </w:p>
    <w:tbl>
      <w:tblPr>
        <w:tblStyle w:val="26"/>
        <w:tblW w:w="9508"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8" w:type="dxa"/>
          </w:tcPr>
          <w:p>
            <w:pPr>
              <w:spacing w:after="0"/>
              <w:rPr>
                <w:color w:val="000000"/>
              </w:rPr>
            </w:pPr>
            <w:r>
              <w:rPr>
                <w:color w:val="000000"/>
              </w:rPr>
              <w:t>Q1: For both RA-SDT and CG-SDT, RAN2 assumes that common PUCCH resources (i.e. those that are shared with non-SDT UEs) can also be used for HARQ-ACK feedback for Msg4 /MsgB and subsequent SDT transmissions. Can RAN1 confirm this?</w:t>
            </w:r>
          </w:p>
          <w:p>
            <w:pPr>
              <w:spacing w:after="0"/>
              <w:rPr>
                <w:color w:val="000000"/>
              </w:rPr>
            </w:pPr>
          </w:p>
          <w:p>
            <w:pPr>
              <w:spacing w:after="0"/>
              <w:rPr>
                <w:rFonts w:eastAsia="宋体"/>
                <w:lang w:eastAsia="zh-CN"/>
              </w:rPr>
            </w:pPr>
            <w:r>
              <w:rPr>
                <w:color w:val="000000"/>
              </w:rPr>
              <w:t xml:space="preserve">Q2: For RA-SDT and CG-SDT, for Msg4 /MsgB and subsequent SDT transmissions, does RAN1 think there is a need for any other PUCCH resources than the above and if needed, can RAN1 define these? </w:t>
            </w:r>
          </w:p>
        </w:tc>
      </w:tr>
    </w:tbl>
    <w:p>
      <w:pPr>
        <w:pStyle w:val="133"/>
        <w:spacing w:before="240" w:after="240"/>
        <w:ind w:firstLine="0" w:firstLineChars="0"/>
        <w:rPr>
          <w:rFonts w:eastAsia="宋体"/>
          <w:sz w:val="20"/>
          <w:lang w:eastAsia="zh-CN"/>
        </w:rPr>
      </w:pPr>
      <w:r>
        <w:rPr>
          <w:rFonts w:hint="eastAsia" w:eastAsia="宋体"/>
          <w:sz w:val="20"/>
          <w:lang w:eastAsia="zh-CN"/>
        </w:rPr>
        <w:t>In RRC_INACTIVE, common PUCCH resources can be configured by SIB1, which may be used for Msg4/MsgB feedback for non-SDT UEs. Then for SDT UEs, we think the common PUCCH resources can also be used for HARQ-ACK feedback for Msg4/MsgB and subsequent transmission to guarantee the reliability.</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11: RAN1 should confirm that the common PUCCH resources (i.e. those that are shared with non-SDT UEs) can also be used for HARQ-ACK feedback for Msg4/MsgB and subsequent SDT transmission.</w:t>
      </w:r>
    </w:p>
    <w:p>
      <w:pPr>
        <w:pStyle w:val="133"/>
        <w:spacing w:after="240"/>
        <w:ind w:firstLine="0" w:firstLineChars="0"/>
        <w:rPr>
          <w:rFonts w:eastAsia="宋体"/>
          <w:sz w:val="20"/>
          <w:lang w:eastAsia="zh-CN"/>
        </w:rPr>
      </w:pPr>
      <w:r>
        <w:rPr>
          <w:rFonts w:hint="eastAsia" w:eastAsia="宋体"/>
          <w:sz w:val="20"/>
          <w:lang w:eastAsia="zh-CN"/>
        </w:rPr>
        <w:t xml:space="preserve">For Q2, we are open to consider any other PUCCH resources. If Q1 is confirmed, there is only a set of cell specific PUCCH resources to be used and maybe it is not enough for non-SDT and SDT UEs. If so, some additional PUCCH resources may be considered. For RA-SDT and CG-SDT, SDT specific common PUCCH resource may be configured by SIB1 similar to SDT specific CSS. In addition, for CG-SDT, UE specific PUCCH resources may be configured by RRC release message. </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12: SDT specific PUCCH resources can be considered for RA-SDT and CG-SDT if needed.</w:t>
      </w:r>
    </w:p>
    <w:p>
      <w:pPr>
        <w:pStyle w:val="3"/>
        <w:spacing w:before="180" w:after="180" w:line="260" w:lineRule="auto"/>
        <w:rPr>
          <w:lang w:val="en-US" w:eastAsia="zh-CN"/>
        </w:rPr>
      </w:pPr>
      <w:r>
        <w:rPr>
          <w:rFonts w:hint="eastAsia"/>
          <w:lang w:val="en-US" w:eastAsia="zh-CN"/>
        </w:rPr>
        <w:t xml:space="preserve"> BFD/BFR</w:t>
      </w:r>
    </w:p>
    <w:p>
      <w:pPr>
        <w:pStyle w:val="133"/>
        <w:ind w:firstLine="0" w:firstLineChars="0"/>
        <w:rPr>
          <w:rFonts w:eastAsia="宋体"/>
          <w:sz w:val="20"/>
          <w:lang w:eastAsia="zh-CN"/>
        </w:rPr>
      </w:pPr>
      <w:r>
        <w:rPr>
          <w:rFonts w:hint="eastAsia" w:eastAsia="宋体"/>
          <w:sz w:val="20"/>
          <w:lang w:eastAsia="zh-CN"/>
        </w:rPr>
        <w:t>In the LS from RAN2, the issue related to BFD/BFR is raised as below:</w:t>
      </w:r>
    </w:p>
    <w:tbl>
      <w:tblPr>
        <w:tblStyle w:val="26"/>
        <w:tblW w:w="952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2" w:type="dxa"/>
          </w:tcPr>
          <w:p>
            <w:pPr>
              <w:spacing w:after="0"/>
              <w:rPr>
                <w:rFonts w:eastAsia="宋体"/>
                <w:lang w:eastAsia="zh-CN"/>
              </w:rPr>
            </w:pPr>
            <w:r>
              <w:t xml:space="preserve">Q5: Does RAN1 think that BFD/BFR procedure is required for SDT and if needed, can RAN1 define the necessary procedure to support this? </w:t>
            </w:r>
          </w:p>
        </w:tc>
      </w:tr>
    </w:tbl>
    <w:p>
      <w:pPr>
        <w:pStyle w:val="133"/>
        <w:numPr>
          <w:ilvl w:val="255"/>
          <w:numId w:val="0"/>
        </w:numPr>
        <w:spacing w:before="120" w:beforeLines="50" w:afterLines="50"/>
        <w:rPr>
          <w:rFonts w:eastAsia="宋体"/>
          <w:sz w:val="20"/>
          <w:lang w:eastAsia="zh-CN"/>
        </w:rPr>
      </w:pPr>
      <w:r>
        <w:rPr>
          <w:rFonts w:hint="eastAsia"/>
          <w:sz w:val="20"/>
          <w:szCs w:val="20"/>
          <w:lang w:eastAsia="zh-CN"/>
        </w:rPr>
        <w:t>In our understanding, for CG-SDT and RA-SDT, BFD/BFR procedure is not essential. One reason is that the subsequent transmission would not last too long, and the other reason is that even if the beam for RACH or CG deteriorates, SDT failure timer from higher layer may also recover this situation. So we think it is an optimization issue and companies interested in BFD/BFR for SDT can raise this issue in Rel-18.</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 xml:space="preserve">Proposal 13: BFD/BFR procedure for SDT is not required for Rel-17 and it can be considered in Rel-18. </w:t>
      </w:r>
    </w:p>
    <w:p>
      <w:pPr>
        <w:pStyle w:val="3"/>
        <w:spacing w:before="180" w:after="180" w:line="260" w:lineRule="auto"/>
        <w:rPr>
          <w:lang w:val="en-US" w:eastAsia="zh-CN"/>
        </w:rPr>
      </w:pPr>
      <w:r>
        <w:rPr>
          <w:rFonts w:hint="eastAsia"/>
          <w:lang w:val="en-US" w:eastAsia="zh-CN"/>
        </w:rPr>
        <w:t xml:space="preserve"> CG-SDT for unlicensed band</w:t>
      </w:r>
    </w:p>
    <w:p>
      <w:pPr>
        <w:jc w:val="both"/>
        <w:rPr>
          <w:lang w:val="en-US" w:eastAsia="zh-CN"/>
        </w:rPr>
      </w:pPr>
      <w:r>
        <w:rPr>
          <w:rFonts w:hint="eastAsia"/>
          <w:lang w:val="en-US" w:eastAsia="zh-CN"/>
        </w:rPr>
        <w:t xml:space="preserve">According to work item description in [2], </w:t>
      </w:r>
      <w:r>
        <w:t>the solutions designed for licensed frequency are reused for the unlicensed frequency if applicable.</w:t>
      </w:r>
    </w:p>
    <w:tbl>
      <w:tblPr>
        <w:tblStyle w:val="25"/>
        <w:tblW w:w="9501"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501" w:type="dxa"/>
          </w:tcPr>
          <w:p>
            <w:pPr>
              <w:keepNext/>
              <w:keepLines/>
              <w:numPr>
                <w:ilvl w:val="255"/>
                <w:numId w:val="0"/>
              </w:numPr>
              <w:tabs>
                <w:tab w:val="left" w:pos="450"/>
              </w:tabs>
              <w:spacing w:before="180" w:line="260" w:lineRule="auto"/>
              <w:rPr>
                <w:lang w:eastAsia="zh-CN"/>
              </w:rPr>
            </w:pPr>
            <w:r>
              <w:rPr>
                <w:rFonts w:hint="eastAsia"/>
                <w:lang w:val="en-US" w:eastAsia="zh-CN"/>
              </w:rPr>
              <w:t>Focus of the WID should be on licensed carriers and the solutions can be reused for NR-U if applicable.</w:t>
            </w:r>
          </w:p>
        </w:tc>
      </w:tr>
    </w:tbl>
    <w:p>
      <w:pPr>
        <w:numPr>
          <w:ilvl w:val="255"/>
          <w:numId w:val="0"/>
        </w:numPr>
        <w:spacing w:before="180" w:line="260" w:lineRule="auto"/>
        <w:jc w:val="both"/>
        <w:rPr>
          <w:lang w:val="en-US" w:eastAsia="zh-CN"/>
        </w:rPr>
      </w:pPr>
      <w:r>
        <w:rPr>
          <w:rFonts w:hint="eastAsia"/>
          <w:lang w:val="en-US" w:eastAsia="zh-CN"/>
        </w:rPr>
        <w:t>In the WID, it</w:t>
      </w:r>
      <w:r>
        <w:rPr>
          <w:lang w:val="en-US" w:eastAsia="zh-CN"/>
        </w:rPr>
        <w:t>’</w:t>
      </w:r>
      <w:r>
        <w:rPr>
          <w:rFonts w:hint="eastAsia"/>
          <w:lang w:val="en-US" w:eastAsia="zh-CN"/>
        </w:rPr>
        <w:t>s mentioned that the work should focus on licensed band and check if it can be reused for unlicensed band. In RAN2, whether CG-SDT is supported for unlicensed band in Rel-17 is being discussed through email discussion. Considering that there is no RAN2 official meeting in October, and there is only 2 meetings left for RAN1 Rel-17, it</w:t>
      </w:r>
      <w:r>
        <w:rPr>
          <w:lang w:val="en-US" w:eastAsia="zh-CN"/>
        </w:rPr>
        <w:t>’</w:t>
      </w:r>
      <w:r>
        <w:rPr>
          <w:rFonts w:hint="eastAsia"/>
          <w:lang w:val="en-US" w:eastAsia="zh-CN"/>
        </w:rPr>
        <w:t xml:space="preserve">s better for RAN1 to consider whether the solutions in licensed band can be reused in unlicensed band in this meeting. </w:t>
      </w:r>
    </w:p>
    <w:p>
      <w:pPr>
        <w:numPr>
          <w:ilvl w:val="255"/>
          <w:numId w:val="0"/>
        </w:numPr>
        <w:jc w:val="both"/>
        <w:rPr>
          <w:lang w:val="en-US" w:eastAsia="zh-CN"/>
        </w:rPr>
      </w:pPr>
      <w:r>
        <w:rPr>
          <w:rFonts w:hint="eastAsia"/>
          <w:lang w:val="en-US" w:eastAsia="zh-CN"/>
        </w:rPr>
        <w:t>It can be noticed that, the mapping ratio, SSB set determination and other SDT specific parameters are irrelevant with the licensed band or unlicensed band, these solutions can be directly reused for unlicensed band. In addition, in unlicensed band CG configuration, there are some dedicated RRC parameter configurations, such as time domain resource configuration and channel access configuration, these can also be reused for unlicensed band CG-SDT.</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14: From RAN1</w:t>
      </w:r>
      <w:r>
        <w:rPr>
          <w:rFonts w:eastAsia="宋体"/>
          <w:b/>
          <w:bCs/>
          <w:i/>
          <w:iCs/>
          <w:sz w:val="20"/>
          <w:lang w:eastAsia="zh-CN"/>
        </w:rPr>
        <w:t>’</w:t>
      </w:r>
      <w:r>
        <w:rPr>
          <w:rFonts w:hint="eastAsia" w:eastAsia="宋体"/>
          <w:b/>
          <w:bCs/>
          <w:i/>
          <w:iCs/>
          <w:sz w:val="20"/>
          <w:lang w:eastAsia="zh-CN"/>
        </w:rPr>
        <w:t>s perspective, if CG-SDT is supported for unlicensed band, the solutions for mapping can be reused for unlicensed band CG-SDT, and the CG configuration in unlicensed band can also be reused for unlicensed band CG-SDT.</w:t>
      </w:r>
    </w:p>
    <w:p>
      <w:pPr>
        <w:pStyle w:val="133"/>
        <w:numPr>
          <w:ilvl w:val="255"/>
          <w:numId w:val="0"/>
        </w:numPr>
        <w:spacing w:afterLines="50"/>
        <w:rPr>
          <w:rFonts w:eastAsia="宋体"/>
          <w:b/>
          <w:bCs/>
          <w:i/>
          <w:iCs/>
          <w:sz w:val="20"/>
          <w:lang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 xml:space="preserve">In this contribution, we have discussed the </w:t>
      </w:r>
      <w:r>
        <w:rPr>
          <w:lang w:val="en-US" w:eastAsia="zh-CN"/>
        </w:rPr>
        <w:t xml:space="preserve">remaining issues on the SSB to PUSCH mapping and </w:t>
      </w:r>
      <w:r>
        <w:rPr>
          <w:rFonts w:hint="eastAsia"/>
          <w:lang w:val="en-US" w:eastAsia="zh-CN"/>
        </w:rPr>
        <w:t>other SDT issues, and the following proposals are provided:</w:t>
      </w:r>
    </w:p>
    <w:bookmarkEnd w:id="1"/>
    <w:bookmarkEnd w:id="2"/>
    <w:bookmarkEnd w:id="3"/>
    <w:bookmarkEnd w:id="4"/>
    <w:p>
      <w:pPr>
        <w:numPr>
          <w:ilvl w:val="255"/>
          <w:numId w:val="0"/>
        </w:numPr>
        <w:rPr>
          <w:rFonts w:eastAsia="宋体"/>
          <w:b/>
          <w:bCs/>
          <w:i/>
          <w:iCs/>
          <w:lang w:val="en-US" w:eastAsia="zh-CN"/>
        </w:rPr>
      </w:pPr>
      <w:r>
        <w:rPr>
          <w:rFonts w:eastAsia="宋体"/>
          <w:b/>
          <w:bCs/>
          <w:i/>
          <w:iCs/>
          <w:lang w:val="en-US" w:eastAsia="zh-CN"/>
        </w:rPr>
        <w:t xml:space="preserve">Proposal </w:t>
      </w:r>
      <w:r>
        <w:rPr>
          <w:rFonts w:hint="eastAsia" w:eastAsia="宋体"/>
          <w:b/>
          <w:bCs/>
          <w:i/>
          <w:iCs/>
          <w:lang w:val="en-US" w:eastAsia="zh-CN"/>
        </w:rPr>
        <w:t>1</w:t>
      </w:r>
      <w:r>
        <w:rPr>
          <w:rFonts w:eastAsia="宋体"/>
          <w:b/>
          <w:bCs/>
          <w:i/>
          <w:iCs/>
          <w:lang w:val="en-US" w:eastAsia="zh-CN"/>
        </w:rPr>
        <w:t>:</w:t>
      </w:r>
      <w:r>
        <w:rPr>
          <w:rFonts w:hint="eastAsia" w:eastAsia="宋体"/>
          <w:b/>
          <w:bCs/>
          <w:i/>
          <w:iCs/>
          <w:lang w:val="en-US" w:eastAsia="zh-CN"/>
        </w:rPr>
        <w:t xml:space="preserve"> Reuse the </w:t>
      </w:r>
      <w:r>
        <w:rPr>
          <w:rFonts w:hint="eastAsia" w:eastAsia="宋体"/>
          <w:b/>
          <w:bCs/>
          <w:i/>
          <w:iCs/>
          <w:sz w:val="21"/>
          <w:szCs w:val="22"/>
          <w:lang w:val="en-US" w:eastAsia="zh-CN"/>
        </w:rPr>
        <w:t>mapping ratio value set of SSB to RO mapping for CG-SDT, and it should be per CG configuration.</w:t>
      </w:r>
    </w:p>
    <w:p>
      <w:pPr>
        <w:numPr>
          <w:ilvl w:val="255"/>
          <w:numId w:val="0"/>
        </w:numPr>
        <w:rPr>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w:t>
      </w:r>
      <w:r>
        <w:rPr>
          <w:rFonts w:hint="eastAsia" w:eastAsia="宋体"/>
          <w:b/>
          <w:bCs/>
          <w:i/>
          <w:iCs/>
          <w:lang w:val="en-US" w:eastAsia="zh-CN"/>
        </w:rPr>
        <w:t xml:space="preserve"> Multi-layer PUSCH transmission is not supported for CG-SDT.</w:t>
      </w:r>
    </w:p>
    <w:p>
      <w:pPr>
        <w:numPr>
          <w:ilvl w:val="255"/>
          <w:numId w:val="0"/>
        </w:numPr>
        <w:rPr>
          <w:lang w:val="en-US" w:eastAsia="zh-CN"/>
        </w:rPr>
      </w:pPr>
      <w:r>
        <w:rPr>
          <w:rFonts w:eastAsia="宋体"/>
          <w:b/>
          <w:bCs/>
          <w:i/>
          <w:iCs/>
          <w:lang w:val="en-US" w:eastAsia="zh-CN"/>
        </w:rPr>
        <w:t xml:space="preserve">Proposal </w:t>
      </w:r>
      <w:r>
        <w:rPr>
          <w:rFonts w:hint="eastAsia" w:eastAsia="宋体"/>
          <w:b/>
          <w:bCs/>
          <w:i/>
          <w:iCs/>
          <w:lang w:val="en-US" w:eastAsia="zh-CN"/>
        </w:rPr>
        <w:t>3</w:t>
      </w:r>
      <w:r>
        <w:rPr>
          <w:rFonts w:eastAsia="宋体"/>
          <w:b/>
          <w:bCs/>
          <w:i/>
          <w:iCs/>
          <w:lang w:val="en-US" w:eastAsia="zh-CN"/>
        </w:rPr>
        <w:t>:</w:t>
      </w:r>
      <w:r>
        <w:rPr>
          <w:rFonts w:hint="eastAsia" w:eastAsia="宋体"/>
          <w:b/>
          <w:bCs/>
          <w:i/>
          <w:iCs/>
          <w:lang w:val="en-US" w:eastAsia="zh-CN"/>
        </w:rPr>
        <w:t xml:space="preserve"> For CG-SDT, </w:t>
      </w:r>
      <w:r>
        <w:rPr>
          <w:rFonts w:hint="eastAsia"/>
          <w:b/>
          <w:bCs/>
          <w:i/>
          <w:iCs/>
          <w:lang w:val="en-US" w:eastAsia="zh-CN"/>
        </w:rPr>
        <w:t>t</w:t>
      </w:r>
      <w:r>
        <w:rPr>
          <w:rFonts w:hint="eastAsia"/>
          <w:b/>
          <w:bCs/>
          <w:i/>
          <w:iCs/>
          <w:lang w:eastAsia="zh-CN"/>
        </w:rPr>
        <w:t>he repetitions are considered as a bundle of transmission occasions that are mapped to the same SSB(s)</w:t>
      </w:r>
      <w:r>
        <w:rPr>
          <w:b/>
          <w:bCs/>
          <w:i/>
          <w:iCs/>
          <w:lang w:eastAsia="zh-CN"/>
        </w:rPr>
        <w:t>.</w:t>
      </w:r>
    </w:p>
    <w:p>
      <w:pPr>
        <w:pStyle w:val="133"/>
        <w:numPr>
          <w:ilvl w:val="255"/>
          <w:numId w:val="0"/>
        </w:numPr>
        <w:spacing w:after="180"/>
        <w:rPr>
          <w:rFonts w:eastAsia="宋体"/>
          <w:b/>
          <w:bCs/>
          <w:i/>
          <w:iCs/>
          <w:sz w:val="20"/>
          <w:lang w:eastAsia="zh-CN"/>
        </w:rPr>
      </w:pPr>
      <w:r>
        <w:rPr>
          <w:rFonts w:hint="eastAsia" w:eastAsia="宋体"/>
          <w:b/>
          <w:bCs/>
          <w:i/>
          <w:iCs/>
          <w:sz w:val="20"/>
          <w:lang w:eastAsia="zh-CN"/>
        </w:rPr>
        <w:t>Proposal 4: For CG-SDT in licensed band, if autonomous retransmission is supported, HARQ process id determination can reuse the mechanism in NR-U framework to reduce latency.</w:t>
      </w:r>
    </w:p>
    <w:p>
      <w:pPr>
        <w:pStyle w:val="133"/>
        <w:spacing w:afterLines="50"/>
        <w:ind w:firstLine="0" w:firstLineChars="0"/>
        <w:rPr>
          <w:rFonts w:eastAsia="宋体"/>
          <w:b/>
          <w:i/>
          <w:sz w:val="20"/>
          <w:szCs w:val="20"/>
          <w:lang w:eastAsia="zh-CN"/>
        </w:rPr>
      </w:pPr>
      <w:r>
        <w:rPr>
          <w:rFonts w:hint="eastAsia" w:eastAsia="宋体"/>
          <w:b/>
          <w:i/>
          <w:sz w:val="20"/>
          <w:szCs w:val="20"/>
          <w:lang w:eastAsia="zh-CN"/>
        </w:rPr>
        <w:t>Proposal 5: Since a separate common search space for RA-SDT is supported, a new type should be defined</w:t>
      </w:r>
      <w:r>
        <w:rPr>
          <w:rFonts w:eastAsia="宋体"/>
          <w:b/>
          <w:i/>
          <w:sz w:val="20"/>
          <w:szCs w:val="20"/>
          <w:lang w:eastAsia="zh-CN"/>
        </w:rPr>
        <w:t xml:space="preserve"> in </w:t>
      </w:r>
      <w:r>
        <w:rPr>
          <w:rFonts w:hint="eastAsia" w:eastAsia="宋体"/>
          <w:b/>
          <w:i/>
          <w:sz w:val="20"/>
          <w:szCs w:val="20"/>
          <w:lang w:eastAsia="zh-CN"/>
        </w:rPr>
        <w:t xml:space="preserve">TS </w:t>
      </w:r>
      <w:r>
        <w:rPr>
          <w:rFonts w:eastAsia="宋体"/>
          <w:b/>
          <w:i/>
          <w:sz w:val="20"/>
          <w:szCs w:val="20"/>
          <w:lang w:eastAsia="zh-CN"/>
        </w:rPr>
        <w:t>38.213</w:t>
      </w:r>
      <w:r>
        <w:rPr>
          <w:rFonts w:hint="eastAsia" w:eastAsia="宋体"/>
          <w:b/>
          <w:i/>
          <w:sz w:val="20"/>
          <w:szCs w:val="20"/>
          <w:lang w:eastAsia="zh-CN"/>
        </w:rPr>
        <w:t>, such as Type4-PDCCH CSS set.</w:t>
      </w:r>
    </w:p>
    <w:p>
      <w:pPr>
        <w:pStyle w:val="133"/>
        <w:numPr>
          <w:ilvl w:val="255"/>
          <w:numId w:val="0"/>
        </w:numPr>
        <w:spacing w:after="18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6</w:t>
      </w:r>
      <w:r>
        <w:rPr>
          <w:rFonts w:eastAsia="宋体"/>
          <w:b/>
          <w:bCs/>
          <w:i/>
          <w:iCs/>
          <w:sz w:val="20"/>
          <w:lang w:eastAsia="zh-CN"/>
        </w:rPr>
        <w:t>: Confirm the RAN2 WA that UE specific search space is configured for UEs performing CG-SDT.</w:t>
      </w:r>
    </w:p>
    <w:p>
      <w:pPr>
        <w:pStyle w:val="133"/>
        <w:numPr>
          <w:ilvl w:val="255"/>
          <w:numId w:val="0"/>
        </w:numPr>
        <w:spacing w:afterLines="5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7</w:t>
      </w:r>
      <w:r>
        <w:rPr>
          <w:rFonts w:eastAsia="宋体"/>
          <w:b/>
          <w:bCs/>
          <w:i/>
          <w:iCs/>
          <w:sz w:val="20"/>
          <w:lang w:eastAsia="zh-CN"/>
        </w:rPr>
        <w:t>: From RAN1’</w:t>
      </w:r>
      <w:r>
        <w:rPr>
          <w:rFonts w:hint="eastAsia" w:eastAsia="宋体"/>
          <w:b/>
          <w:bCs/>
          <w:i/>
          <w:iCs/>
          <w:sz w:val="20"/>
          <w:lang w:eastAsia="zh-CN"/>
        </w:rPr>
        <w:t>s</w:t>
      </w:r>
      <w:r>
        <w:rPr>
          <w:rFonts w:eastAsia="宋体"/>
          <w:b/>
          <w:bCs/>
          <w:i/>
          <w:iCs/>
          <w:sz w:val="20"/>
          <w:lang w:eastAsia="zh-CN"/>
        </w:rPr>
        <w:t xml:space="preserve"> perspective, the existing DFI mechanism can be reused</w:t>
      </w:r>
      <w:r>
        <w:rPr>
          <w:rFonts w:hint="eastAsia" w:eastAsia="宋体"/>
          <w:b/>
          <w:bCs/>
          <w:i/>
          <w:iCs/>
          <w:sz w:val="20"/>
          <w:lang w:eastAsia="zh-CN"/>
        </w:rPr>
        <w:t xml:space="preserve"> for the feedback of CG-SDT</w:t>
      </w:r>
      <w:r>
        <w:rPr>
          <w:rFonts w:eastAsia="宋体"/>
          <w:b/>
          <w:bCs/>
          <w:i/>
          <w:iCs/>
          <w:sz w:val="20"/>
          <w:lang w:eastAsia="zh-CN"/>
        </w:rPr>
        <w:t xml:space="preserve"> in subsequent transmission.</w:t>
      </w:r>
    </w:p>
    <w:p>
      <w:pPr>
        <w:pStyle w:val="133"/>
        <w:numPr>
          <w:ilvl w:val="255"/>
          <w:numId w:val="0"/>
        </w:numPr>
        <w:spacing w:after="18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8</w:t>
      </w:r>
      <w:r>
        <w:rPr>
          <w:rFonts w:eastAsia="宋体"/>
          <w:b/>
          <w:bCs/>
          <w:i/>
          <w:iCs/>
          <w:sz w:val="20"/>
          <w:lang w:eastAsia="zh-CN"/>
        </w:rPr>
        <w:t xml:space="preserve">: </w:t>
      </w:r>
      <w:r>
        <w:rPr>
          <w:rFonts w:hint="eastAsia" w:eastAsia="宋体"/>
          <w:b/>
          <w:bCs/>
          <w:i/>
          <w:iCs/>
          <w:sz w:val="20"/>
          <w:lang w:eastAsia="zh-CN"/>
        </w:rPr>
        <w:t>From RAN1</w:t>
      </w:r>
      <w:r>
        <w:rPr>
          <w:rFonts w:eastAsia="宋体"/>
          <w:b/>
          <w:bCs/>
          <w:i/>
          <w:iCs/>
          <w:sz w:val="20"/>
          <w:lang w:eastAsia="zh-CN"/>
        </w:rPr>
        <w:t>’</w:t>
      </w:r>
      <w:r>
        <w:rPr>
          <w:rFonts w:hint="eastAsia" w:eastAsia="宋体"/>
          <w:b/>
          <w:bCs/>
          <w:i/>
          <w:iCs/>
          <w:sz w:val="20"/>
          <w:lang w:eastAsia="zh-CN"/>
        </w:rPr>
        <w:t xml:space="preserve">s perspective, CG-SDT resource can be configured on </w:t>
      </w:r>
      <w:r>
        <w:rPr>
          <w:rFonts w:eastAsia="宋体"/>
          <w:b/>
          <w:bCs/>
          <w:i/>
          <w:iCs/>
          <w:sz w:val="20"/>
          <w:lang w:eastAsia="zh-CN"/>
        </w:rPr>
        <w:t xml:space="preserve">a </w:t>
      </w:r>
      <w:r>
        <w:rPr>
          <w:rFonts w:hint="eastAsia" w:eastAsia="宋体"/>
          <w:b/>
          <w:bCs/>
          <w:i/>
          <w:iCs/>
          <w:sz w:val="20"/>
          <w:lang w:eastAsia="zh-CN"/>
        </w:rPr>
        <w:t xml:space="preserve">separate SDT BWP. </w:t>
      </w:r>
      <w:r>
        <w:rPr>
          <w:rFonts w:eastAsia="宋体"/>
          <w:b/>
          <w:bCs/>
          <w:i/>
          <w:iCs/>
          <w:sz w:val="20"/>
          <w:lang w:eastAsia="zh-CN"/>
        </w:rPr>
        <w:t xml:space="preserve">For TDD mode, </w:t>
      </w:r>
      <w:r>
        <w:rPr>
          <w:rFonts w:hint="eastAsia" w:eastAsia="宋体"/>
          <w:b/>
          <w:bCs/>
          <w:i/>
          <w:iCs/>
          <w:sz w:val="20"/>
          <w:lang w:eastAsia="zh-CN"/>
        </w:rPr>
        <w:t>define a restriction that the separate BWP is linked to the DL BWP containing the SSB associated to the initial DL BWP.</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9: From RAN1</w:t>
      </w:r>
      <w:r>
        <w:rPr>
          <w:rFonts w:eastAsia="宋体"/>
          <w:b/>
          <w:bCs/>
          <w:i/>
          <w:iCs/>
          <w:sz w:val="20"/>
          <w:lang w:eastAsia="zh-CN"/>
        </w:rPr>
        <w:t>’</w:t>
      </w:r>
      <w:r>
        <w:rPr>
          <w:rFonts w:hint="eastAsia" w:eastAsia="宋体"/>
          <w:b/>
          <w:bCs/>
          <w:i/>
          <w:iCs/>
          <w:sz w:val="20"/>
          <w:lang w:eastAsia="zh-CN"/>
        </w:rPr>
        <w:t>s perspective, RA-SDT can be configured on non-initial BWP, and the RA-SDT related configuration on non-initial BWP is provided via system information.</w:t>
      </w:r>
    </w:p>
    <w:p>
      <w:pPr>
        <w:pStyle w:val="133"/>
        <w:numPr>
          <w:ilvl w:val="255"/>
          <w:numId w:val="0"/>
        </w:numPr>
        <w:spacing w:afterLines="50"/>
        <w:rPr>
          <w:rFonts w:eastAsia="宋体"/>
          <w:sz w:val="20"/>
          <w:lang w:eastAsia="zh-CN"/>
        </w:rPr>
      </w:pPr>
      <w:r>
        <w:rPr>
          <w:rFonts w:hint="eastAsia" w:eastAsia="宋体"/>
          <w:b/>
          <w:bCs/>
          <w:i/>
          <w:iCs/>
          <w:sz w:val="20"/>
          <w:lang w:eastAsia="zh-CN"/>
        </w:rPr>
        <w:t>Proposal 10: When RA-SDT is configured on non-initial BWP, for TDD mode,  similar to separate BWP for CG-SDT, define a restriction, i.e. the non-initial BWP is linked to the DL BWP containing the SSB associated to the initial DL BWP.</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11: RAN1 should confirm that the common PUCCH resources (i.e. those that are shared with non-SDT UEs) can also be used for HARQ-ACK feedback for Msg4/MsgB and subsequent SDT transmission.</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12: SDT specific PUCCH resources can be considered for RA-SDT and CG-SDT if needed.</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 xml:space="preserve">Proposal 13: BFD/BFR procedure for SDT is not required for Rel-17 and it can be considered in Rel-18. </w:t>
      </w:r>
    </w:p>
    <w:p>
      <w:pPr>
        <w:pStyle w:val="133"/>
        <w:numPr>
          <w:ilvl w:val="255"/>
          <w:numId w:val="0"/>
        </w:numPr>
        <w:spacing w:afterLines="50"/>
        <w:rPr>
          <w:rFonts w:eastAsia="宋体"/>
          <w:b/>
          <w:bCs/>
          <w:i/>
          <w:iCs/>
          <w:sz w:val="20"/>
          <w:lang w:eastAsia="zh-CN"/>
        </w:rPr>
      </w:pPr>
      <w:r>
        <w:rPr>
          <w:rFonts w:hint="eastAsia" w:eastAsia="宋体"/>
          <w:b/>
          <w:bCs/>
          <w:i/>
          <w:iCs/>
          <w:sz w:val="20"/>
          <w:lang w:eastAsia="zh-CN"/>
        </w:rPr>
        <w:t>Proposal 14: From RAN1</w:t>
      </w:r>
      <w:r>
        <w:rPr>
          <w:rFonts w:eastAsia="宋体"/>
          <w:b/>
          <w:bCs/>
          <w:i/>
          <w:iCs/>
          <w:sz w:val="20"/>
          <w:lang w:eastAsia="zh-CN"/>
        </w:rPr>
        <w:t>’</w:t>
      </w:r>
      <w:r>
        <w:rPr>
          <w:rFonts w:hint="eastAsia" w:eastAsia="宋体"/>
          <w:b/>
          <w:bCs/>
          <w:i/>
          <w:iCs/>
          <w:sz w:val="20"/>
          <w:lang w:eastAsia="zh-CN"/>
        </w:rPr>
        <w:t>s perspective, if CG-SDT is supported for unlicensed band, the solutions for mapping can be reused for unlicensed band CG-SDT, and the CG configuration in unlicensed band can also be reused for unlicensed band CG-SDT.</w:t>
      </w:r>
    </w:p>
    <w:p>
      <w:pPr>
        <w:pStyle w:val="133"/>
        <w:spacing w:after="180"/>
        <w:ind w:firstLine="0" w:firstLineChars="0"/>
        <w:rPr>
          <w:b/>
          <w:bCs/>
          <w:i/>
          <w:iCs/>
          <w:color w:val="FF0000"/>
          <w:lang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38.213 g70, NR; Physical layer procedures for control</w:t>
      </w:r>
      <w:r>
        <w:rPr>
          <w:rFonts w:eastAsia="宋体"/>
          <w:lang w:val="en-US" w:eastAsia="zh-CN"/>
        </w:rPr>
        <w:t xml:space="preserve"> </w:t>
      </w:r>
      <w:r>
        <w:rPr>
          <w:rFonts w:hint="eastAsia" w:eastAsia="宋体"/>
          <w:lang w:val="en-US" w:eastAsia="zh-CN"/>
        </w:rPr>
        <w:t>(Release 16)</w:t>
      </w:r>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lang w:val="en-US" w:eastAsia="zh-CN"/>
        </w:rPr>
        <w:t>RP-212594</w:t>
      </w:r>
      <w:r>
        <w:rPr>
          <w:rFonts w:hint="eastAsia" w:eastAsia="宋体"/>
          <w:lang w:val="en-US" w:eastAsia="zh-CN"/>
        </w:rPr>
        <w:t>,</w:t>
      </w:r>
      <w:r>
        <w:rPr>
          <w:rFonts w:eastAsia="宋体"/>
          <w:lang w:val="en-US" w:eastAsia="zh-CN"/>
        </w:rPr>
        <w:t>’</w:t>
      </w:r>
      <w:r>
        <w:rPr>
          <w:rFonts w:hint="eastAsia" w:eastAsia="宋体"/>
          <w:lang w:val="en-US" w:eastAsia="zh-CN"/>
        </w:rPr>
        <w:t>Work Item on NR small data transmissions in INACTIVE state</w:t>
      </w:r>
      <w:r>
        <w:rPr>
          <w:rFonts w:eastAsia="宋体"/>
          <w:lang w:val="en-US" w:eastAsia="zh-CN"/>
        </w:rPr>
        <w:t>’</w:t>
      </w:r>
      <w:r>
        <w:rPr>
          <w:rFonts w:hint="eastAsia" w:eastAsia="宋体"/>
          <w:lang w:val="en-US" w:eastAsia="zh-CN"/>
        </w:rPr>
        <w:t>,</w:t>
      </w:r>
      <w:r>
        <w:rPr>
          <w:rFonts w:eastAsia="宋体"/>
          <w:lang w:val="en-US" w:eastAsia="zh-CN"/>
        </w:rPr>
        <w:t xml:space="preserve"> </w:t>
      </w:r>
      <w:r>
        <w:rPr>
          <w:rFonts w:hint="eastAsia" w:eastAsia="宋体"/>
          <w:lang w:val="en-US" w:eastAsia="zh-CN"/>
        </w:rPr>
        <w:t>ZTE Corporation,</w:t>
      </w:r>
      <w:r>
        <w:rPr>
          <w:rFonts w:eastAsia="宋体"/>
          <w:lang w:val="en-US" w:eastAsia="zh-CN"/>
        </w:rPr>
        <w:t xml:space="preserve"> </w:t>
      </w:r>
      <w:r>
        <w:rPr>
          <w:rFonts w:hint="eastAsia" w:eastAsia="宋体"/>
          <w:lang w:val="en-US" w:eastAsia="zh-CN"/>
        </w:rPr>
        <w:t>September</w:t>
      </w:r>
      <w:r>
        <w:rPr>
          <w:rFonts w:eastAsia="宋体"/>
          <w:lang w:val="en-US" w:eastAsia="zh-CN"/>
        </w:rPr>
        <w:t>.</w:t>
      </w:r>
      <w:r>
        <w:rPr>
          <w:rFonts w:hint="eastAsia" w:eastAsia="宋体"/>
          <w:lang w:val="en-US" w:eastAsia="zh-CN"/>
        </w:rPr>
        <w:t xml:space="preserve"> 2021</w:t>
      </w:r>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Draft_Minutes_report_RAN1#106-e_v020, August 2021</w:t>
      </w:r>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R1-2106405, Reply LS to RAN1 on physical layer aspects of small data transmission</w:t>
      </w:r>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R1-2108715, LS on agreements related to SDT</w:t>
      </w: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6EE6B8E"/>
    <w:multiLevelType w:val="multilevel"/>
    <w:tmpl w:val="16EE6B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664BD8"/>
    <w:multiLevelType w:val="singleLevel"/>
    <w:tmpl w:val="1C664BD8"/>
    <w:lvl w:ilvl="0" w:tentative="0">
      <w:start w:val="1"/>
      <w:numFmt w:val="decimal"/>
      <w:suff w:val="space"/>
      <w:lvlText w:val="%1."/>
      <w:lvlJc w:val="left"/>
    </w:lvl>
  </w:abstractNum>
  <w:abstractNum w:abstractNumId="5">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32594429"/>
    <w:multiLevelType w:val="multilevel"/>
    <w:tmpl w:val="32594429"/>
    <w:lvl w:ilvl="0" w:tentative="0">
      <w:start w:val="1"/>
      <w:numFmt w:val="decimal"/>
      <w:lvlText w:val="%1."/>
      <w:lvlJc w:val="left"/>
      <w:pPr>
        <w:ind w:left="1619" w:hanging="360"/>
      </w:pPr>
      <w:rPr>
        <w:rFonts w:hint="default"/>
      </w:rPr>
    </w:lvl>
    <w:lvl w:ilvl="1" w:tentative="0">
      <w:start w:val="0"/>
      <w:numFmt w:val="bullet"/>
      <w:lvlText w:val="-"/>
      <w:lvlJc w:val="left"/>
      <w:pPr>
        <w:ind w:left="2339" w:hanging="360"/>
      </w:pPr>
      <w:rPr>
        <w:rFonts w:hint="default" w:ascii="Arial" w:hAnsi="Arial" w:eastAsia="MS Mincho" w:cs="Arial"/>
      </w:r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36A80A8E"/>
    <w:multiLevelType w:val="multilevel"/>
    <w:tmpl w:val="36A80A8E"/>
    <w:lvl w:ilvl="0" w:tentative="0">
      <w:start w:val="129"/>
      <w:numFmt w:val="bullet"/>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C6660D5"/>
    <w:multiLevelType w:val="multilevel"/>
    <w:tmpl w:val="3C6660D5"/>
    <w:lvl w:ilvl="0" w:tentative="0">
      <w:start w:val="751"/>
      <w:numFmt w:val="bullet"/>
      <w:lvlText w:val="•"/>
      <w:lvlJc w:val="left"/>
      <w:pPr>
        <w:ind w:left="420" w:hanging="420"/>
      </w:pPr>
      <w:rPr>
        <w:rFonts w:hint="default" w:ascii="Arial" w:hAnsi="Arial"/>
      </w:rPr>
    </w:lvl>
    <w:lvl w:ilvl="1" w:tentative="0">
      <w:start w:val="9"/>
      <w:numFmt w:val="bullet"/>
      <w:lvlText w:val="-"/>
      <w:lvlJc w:val="left"/>
      <w:pPr>
        <w:ind w:left="780" w:hanging="360"/>
      </w:pPr>
      <w:rPr>
        <w:rFonts w:hint="default" w:ascii="Times New Roman" w:hAnsi="Times New Roman" w:eastAsia="宋体" w:cs="Times New Roman"/>
        <w:sz w:val="22"/>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60F7240"/>
    <w:multiLevelType w:val="multilevel"/>
    <w:tmpl w:val="460F7240"/>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1">
    <w:nsid w:val="475E3265"/>
    <w:multiLevelType w:val="multilevel"/>
    <w:tmpl w:val="475E32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3">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6">
    <w:nsid w:val="70942A4C"/>
    <w:multiLevelType w:val="multilevel"/>
    <w:tmpl w:val="70942A4C"/>
    <w:lvl w:ilvl="0" w:tentative="0">
      <w:start w:val="75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9C847B1"/>
    <w:multiLevelType w:val="multilevel"/>
    <w:tmpl w:val="79C847B1"/>
    <w:lvl w:ilvl="0" w:tentative="0">
      <w:start w:val="0"/>
      <w:numFmt w:val="bullet"/>
      <w:lvlText w:val="•"/>
      <w:lvlJc w:val="left"/>
      <w:pPr>
        <w:ind w:left="720" w:hanging="360"/>
      </w:pPr>
      <w:rPr>
        <w:rFonts w:hint="default" w:ascii="Arial" w:hAnsi="Arial" w:eastAsia="MS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2"/>
  </w:num>
  <w:num w:numId="3">
    <w:abstractNumId w:val="14"/>
  </w:num>
  <w:num w:numId="4">
    <w:abstractNumId w:val="18"/>
  </w:num>
  <w:num w:numId="5">
    <w:abstractNumId w:val="5"/>
  </w:num>
  <w:num w:numId="6">
    <w:abstractNumId w:val="13"/>
  </w:num>
  <w:num w:numId="7">
    <w:abstractNumId w:val="8"/>
  </w:num>
  <w:num w:numId="8">
    <w:abstractNumId w:val="1"/>
  </w:num>
  <w:num w:numId="9">
    <w:abstractNumId w:val="15"/>
  </w:num>
  <w:num w:numId="10">
    <w:abstractNumId w:val="6"/>
  </w:num>
  <w:num w:numId="11">
    <w:abstractNumId w:val="7"/>
  </w:num>
  <w:num w:numId="12">
    <w:abstractNumId w:val="10"/>
  </w:num>
  <w:num w:numId="13">
    <w:abstractNumId w:val="17"/>
  </w:num>
  <w:num w:numId="14">
    <w:abstractNumId w:val="3"/>
  </w:num>
  <w:num w:numId="15">
    <w:abstractNumId w:val="11"/>
  </w:num>
  <w:num w:numId="16">
    <w:abstractNumId w:val="4"/>
  </w:num>
  <w:num w:numId="17">
    <w:abstractNumId w:val="16"/>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2A456C"/>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F7C7F"/>
    <w:rsid w:val="0D727EA8"/>
    <w:rsid w:val="0D7423B9"/>
    <w:rsid w:val="0D7963C5"/>
    <w:rsid w:val="0D7E59E5"/>
    <w:rsid w:val="0D834A5C"/>
    <w:rsid w:val="0D893EB2"/>
    <w:rsid w:val="0D9C16DD"/>
    <w:rsid w:val="0DB56E8E"/>
    <w:rsid w:val="0DB93391"/>
    <w:rsid w:val="0DBF562F"/>
    <w:rsid w:val="0DC70173"/>
    <w:rsid w:val="0DC93404"/>
    <w:rsid w:val="0DCA02FE"/>
    <w:rsid w:val="0DCB7D45"/>
    <w:rsid w:val="0DD0272C"/>
    <w:rsid w:val="0DD400A1"/>
    <w:rsid w:val="0DD520DE"/>
    <w:rsid w:val="0DDA114E"/>
    <w:rsid w:val="0DDB59D7"/>
    <w:rsid w:val="0DDC03D6"/>
    <w:rsid w:val="0DDE14D8"/>
    <w:rsid w:val="0DE53E77"/>
    <w:rsid w:val="0DE54911"/>
    <w:rsid w:val="0DE748A8"/>
    <w:rsid w:val="0DF02E99"/>
    <w:rsid w:val="0DFA76E6"/>
    <w:rsid w:val="0DFC649B"/>
    <w:rsid w:val="0DFD1947"/>
    <w:rsid w:val="0E052000"/>
    <w:rsid w:val="0E075E25"/>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574AAF"/>
    <w:rsid w:val="116327EE"/>
    <w:rsid w:val="116739ED"/>
    <w:rsid w:val="116A05CE"/>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600AF"/>
    <w:rsid w:val="232A2D69"/>
    <w:rsid w:val="232A5F2C"/>
    <w:rsid w:val="23386614"/>
    <w:rsid w:val="233D1563"/>
    <w:rsid w:val="234902A8"/>
    <w:rsid w:val="234A49FF"/>
    <w:rsid w:val="2352170F"/>
    <w:rsid w:val="23533331"/>
    <w:rsid w:val="23537622"/>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4A69"/>
    <w:rsid w:val="2D9531A4"/>
    <w:rsid w:val="2DA74F81"/>
    <w:rsid w:val="2DAB42E1"/>
    <w:rsid w:val="2DB26597"/>
    <w:rsid w:val="2DB5614E"/>
    <w:rsid w:val="2DB92758"/>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F23F7"/>
    <w:rsid w:val="3A761F09"/>
    <w:rsid w:val="3A7E466F"/>
    <w:rsid w:val="3A835525"/>
    <w:rsid w:val="3A8A0C83"/>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979F5"/>
    <w:rsid w:val="42557AE4"/>
    <w:rsid w:val="425C5BCE"/>
    <w:rsid w:val="425F7EE1"/>
    <w:rsid w:val="42605FC7"/>
    <w:rsid w:val="4277132B"/>
    <w:rsid w:val="427E1411"/>
    <w:rsid w:val="427E1440"/>
    <w:rsid w:val="42887B26"/>
    <w:rsid w:val="42904B06"/>
    <w:rsid w:val="42910831"/>
    <w:rsid w:val="42A97915"/>
    <w:rsid w:val="42AF6E21"/>
    <w:rsid w:val="42B61D72"/>
    <w:rsid w:val="42B95478"/>
    <w:rsid w:val="42BC2E3B"/>
    <w:rsid w:val="42BD0168"/>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C3C9F"/>
    <w:rsid w:val="478175DF"/>
    <w:rsid w:val="47835FD1"/>
    <w:rsid w:val="47921058"/>
    <w:rsid w:val="47980643"/>
    <w:rsid w:val="47A74723"/>
    <w:rsid w:val="47AC64AE"/>
    <w:rsid w:val="47AE2329"/>
    <w:rsid w:val="47B148F4"/>
    <w:rsid w:val="47B25DFC"/>
    <w:rsid w:val="47BA20DB"/>
    <w:rsid w:val="47BB4588"/>
    <w:rsid w:val="47C80408"/>
    <w:rsid w:val="47CD4EBC"/>
    <w:rsid w:val="47D34EEE"/>
    <w:rsid w:val="47D67760"/>
    <w:rsid w:val="47DC4C30"/>
    <w:rsid w:val="47E678D8"/>
    <w:rsid w:val="47FD076E"/>
    <w:rsid w:val="48002186"/>
    <w:rsid w:val="481431E7"/>
    <w:rsid w:val="481571E2"/>
    <w:rsid w:val="481B2655"/>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6348A"/>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D6B82"/>
    <w:rsid w:val="55943888"/>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94687"/>
    <w:rsid w:val="58DE49F6"/>
    <w:rsid w:val="58F7247A"/>
    <w:rsid w:val="58FA10F4"/>
    <w:rsid w:val="590413BD"/>
    <w:rsid w:val="590C7D1F"/>
    <w:rsid w:val="591015C0"/>
    <w:rsid w:val="5919583D"/>
    <w:rsid w:val="5919795C"/>
    <w:rsid w:val="59232537"/>
    <w:rsid w:val="592F245D"/>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22DF"/>
    <w:rsid w:val="60DC54BD"/>
    <w:rsid w:val="60E440E4"/>
    <w:rsid w:val="60EE4AE8"/>
    <w:rsid w:val="60FA79C1"/>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70B5E"/>
    <w:rsid w:val="65F90627"/>
    <w:rsid w:val="65FA1EED"/>
    <w:rsid w:val="65FE6126"/>
    <w:rsid w:val="66026916"/>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932A9"/>
    <w:rsid w:val="69D64D08"/>
    <w:rsid w:val="69DC4528"/>
    <w:rsid w:val="69E51124"/>
    <w:rsid w:val="69E578F8"/>
    <w:rsid w:val="69E82662"/>
    <w:rsid w:val="69EB5FCC"/>
    <w:rsid w:val="69EF4BA7"/>
    <w:rsid w:val="69F460E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920AE0"/>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140A1"/>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F7F20"/>
    <w:rsid w:val="7B2D4E59"/>
    <w:rsid w:val="7B3E404B"/>
    <w:rsid w:val="7B3E6F0C"/>
    <w:rsid w:val="7B487574"/>
    <w:rsid w:val="7B5B03C8"/>
    <w:rsid w:val="7B5F47E3"/>
    <w:rsid w:val="7B6507F0"/>
    <w:rsid w:val="7B677818"/>
    <w:rsid w:val="7B6F5726"/>
    <w:rsid w:val="7B742FC3"/>
    <w:rsid w:val="7B7C2D50"/>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字符"/>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字符"/>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字符"/>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字符"/>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cid:image001.gif@01D79C24.DBB86710" TargetMode="External"/><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4040</Words>
  <Characters>23029</Characters>
  <Lines>191</Lines>
  <Paragraphs>54</Paragraphs>
  <TotalTime>3</TotalTime>
  <ScaleCrop>false</ScaleCrop>
  <LinksUpToDate>false</LinksUpToDate>
  <CharactersWithSpaces>27015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2021-09-30T09:51:00Z</dcterms:created>
  <dc:creator>ZTE</dc:creator>
  <cp:lastModifiedBy>ZTE-Ziyang</cp:lastModifiedBy>
  <cp:lastPrinted>2018-02-16T23:29:00Z</cp:lastPrinted>
  <dcterms:modified xsi:type="dcterms:W3CDTF">2021-10-01T13:06:16Z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